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44F21" w14:textId="1AF759D8" w:rsidR="000F6C66" w:rsidRDefault="008F6BD8">
      <w:pPr>
        <w:spacing w:line="240" w:lineRule="auto"/>
        <w:jc w:val="both"/>
        <w:rPr>
          <w:b/>
          <w:sz w:val="21"/>
          <w:szCs w:val="21"/>
        </w:rPr>
      </w:pPr>
      <w:r>
        <w:rPr>
          <w:b/>
          <w:sz w:val="21"/>
          <w:szCs w:val="21"/>
        </w:rPr>
        <w:t>ACUERDO POR EL QUE SE ESTABLECEN ACCIONES DE SIMPLIFICACIÓN PARA TRÁMITES QUE SE REALIZAN ANTE LA DIRECCIÓN GENERAL DEL REGISTRO DEL ESTADO FAMILIAR.</w:t>
      </w:r>
    </w:p>
    <w:p w14:paraId="522C692C" w14:textId="77777777" w:rsidR="000F6C66" w:rsidRDefault="00000000">
      <w:pPr>
        <w:spacing w:before="240" w:after="240"/>
        <w:jc w:val="both"/>
        <w:rPr>
          <w:b/>
          <w:sz w:val="21"/>
          <w:szCs w:val="21"/>
        </w:rPr>
      </w:pPr>
      <w:r>
        <w:rPr>
          <w:b/>
          <w:sz w:val="21"/>
          <w:szCs w:val="21"/>
        </w:rPr>
        <w:t>Al margen un sello con el Escudo Nacional, que dice: Estados Unidos Mexicanos. - [Autoridad].</w:t>
      </w:r>
    </w:p>
    <w:p w14:paraId="0CCBA211" w14:textId="77777777" w:rsidR="000F6C66" w:rsidRDefault="00000000">
      <w:pPr>
        <w:spacing w:before="240" w:after="240"/>
        <w:jc w:val="both"/>
        <w:rPr>
          <w:sz w:val="21"/>
          <w:szCs w:val="21"/>
        </w:rPr>
      </w:pPr>
      <w:r>
        <w:rPr>
          <w:sz w:val="21"/>
          <w:szCs w:val="21"/>
        </w:rPr>
        <w:t xml:space="preserve">Guillermo Olivares Reyna, </w:t>
      </w:r>
      <w:proofErr w:type="gramStart"/>
      <w:r>
        <w:rPr>
          <w:sz w:val="21"/>
          <w:szCs w:val="21"/>
        </w:rPr>
        <w:t>Secretario</w:t>
      </w:r>
      <w:proofErr w:type="gramEnd"/>
      <w:r>
        <w:rPr>
          <w:sz w:val="21"/>
          <w:szCs w:val="21"/>
        </w:rPr>
        <w:t xml:space="preserve"> de Gobierno, con fundamento en los artículos 17 fracción I, 28 fracciones XXX, XXXIV y XXXIX de la Ley Orgánica de la Administración Pública para el Estado de Hidalgo, así como el artículo 84 de la Ley General de Mejora Regulatoria, y 3 de la Ley para la Familia del Estado de Hidalgo. </w:t>
      </w:r>
    </w:p>
    <w:p w14:paraId="7B151AEC" w14:textId="77777777" w:rsidR="000F6C66" w:rsidRDefault="00000000">
      <w:pPr>
        <w:spacing w:before="240" w:after="240"/>
        <w:jc w:val="center"/>
        <w:rPr>
          <w:b/>
          <w:sz w:val="21"/>
          <w:szCs w:val="21"/>
        </w:rPr>
      </w:pPr>
      <w:r>
        <w:rPr>
          <w:b/>
          <w:sz w:val="21"/>
          <w:szCs w:val="21"/>
        </w:rPr>
        <w:t>CONSIDERANDO</w:t>
      </w:r>
    </w:p>
    <w:p w14:paraId="73B6CB23" w14:textId="77777777" w:rsidR="000F6C66" w:rsidRDefault="00000000">
      <w:pPr>
        <w:spacing w:before="240" w:after="240"/>
        <w:jc w:val="both"/>
        <w:rPr>
          <w:sz w:val="21"/>
          <w:szCs w:val="21"/>
        </w:rPr>
      </w:pPr>
      <w:r>
        <w:rPr>
          <w:sz w:val="21"/>
          <w:szCs w:val="21"/>
        </w:rPr>
        <w:t xml:space="preserve">Que la Declaración Universal de los Derechos Humanos, adoptada por la Asamblea General de las Naciones Unidas en 1948, establece el derecho de toda persona a ser reconocida como sujeto de derechos, lo cual es fundamental para el ejercicio de todos los derechos que le permitan tener un pleno y libre desarrollo de la personalidad. </w:t>
      </w:r>
    </w:p>
    <w:p w14:paraId="469C0436" w14:textId="77777777" w:rsidR="000F6C66" w:rsidRDefault="00000000">
      <w:pPr>
        <w:spacing w:before="240" w:after="240"/>
        <w:jc w:val="both"/>
        <w:rPr>
          <w:sz w:val="21"/>
          <w:szCs w:val="21"/>
        </w:rPr>
      </w:pPr>
      <w:r>
        <w:rPr>
          <w:sz w:val="21"/>
          <w:szCs w:val="21"/>
        </w:rPr>
        <w:t>Que el artículo 6o. de la Declaración Universal de los Derechos Humanos, adoptada por la Asamblea General de las Naciones Unidas en 1948, establece el derecho al reconocimiento de la personalidad jurídica de todo ser humano.</w:t>
      </w:r>
    </w:p>
    <w:p w14:paraId="6A5A6741" w14:textId="77777777" w:rsidR="000F6C66" w:rsidRDefault="00000000">
      <w:pPr>
        <w:spacing w:before="240" w:after="240"/>
        <w:jc w:val="both"/>
        <w:rPr>
          <w:sz w:val="21"/>
          <w:szCs w:val="21"/>
        </w:rPr>
      </w:pPr>
      <w:r>
        <w:rPr>
          <w:sz w:val="21"/>
          <w:szCs w:val="21"/>
        </w:rPr>
        <w:t xml:space="preserve">Que el artículo 5o. de la Convención Internacional sobre la Eliminación de Todas las Formas de Discriminación Racial, establece la obligación de los Estados Parte para asegurar, sin discriminación alguna, el acceso de toda persona a los derechos civiles. </w:t>
      </w:r>
    </w:p>
    <w:p w14:paraId="29380813" w14:textId="77777777" w:rsidR="000F6C66" w:rsidRDefault="00000000">
      <w:pPr>
        <w:spacing w:before="240" w:after="240"/>
        <w:jc w:val="both"/>
        <w:rPr>
          <w:sz w:val="21"/>
          <w:szCs w:val="21"/>
        </w:rPr>
      </w:pPr>
      <w:r>
        <w:rPr>
          <w:sz w:val="21"/>
          <w:szCs w:val="21"/>
        </w:rPr>
        <w:t xml:space="preserve">Que el artículo 16 del Pacto Internacional de Derechos Civiles y Políticos, establece el derecho al reconocimiento de la personalidad jurídica de todo ser humano. </w:t>
      </w:r>
    </w:p>
    <w:p w14:paraId="659A841C" w14:textId="77777777" w:rsidR="000F6C66" w:rsidRDefault="00000000">
      <w:pPr>
        <w:spacing w:before="240" w:after="240"/>
        <w:jc w:val="both"/>
        <w:rPr>
          <w:sz w:val="21"/>
          <w:szCs w:val="21"/>
        </w:rPr>
      </w:pPr>
      <w:r>
        <w:rPr>
          <w:sz w:val="21"/>
          <w:szCs w:val="21"/>
        </w:rPr>
        <w:t xml:space="preserve">Que el artículo 24 del Pacto Internacional de Derechos Civiles y Políticos, reconoce los derechos de las niñas y niños, sin discriminación alguna por motivos de raza, color, sexo, idioma, religión, origen nacional o social, posición económica o nacimiento. Asimismo, establece que tanto su familia, la sociedad y el Estado, deberán establecer las medidas de protección que su condición de menores de edad requiere. </w:t>
      </w:r>
    </w:p>
    <w:p w14:paraId="73CB23C0" w14:textId="01D0D8D0" w:rsidR="000F6C66" w:rsidRDefault="00000000">
      <w:pPr>
        <w:spacing w:before="240" w:after="240"/>
        <w:jc w:val="both"/>
        <w:rPr>
          <w:sz w:val="21"/>
          <w:szCs w:val="21"/>
        </w:rPr>
      </w:pPr>
      <w:r>
        <w:rPr>
          <w:sz w:val="21"/>
          <w:szCs w:val="21"/>
        </w:rPr>
        <w:t>Que el artículo 15 de la Convención sobre la Eliminación de todas las Formas de Discriminación contra la Mujer, establece el reconocimiento a la mujer en materia civil, una capacidad jurídica idéntica a la del hombre y las mismas oportunidades para el ejercicio de esa capacidad.</w:t>
      </w:r>
    </w:p>
    <w:p w14:paraId="53276713" w14:textId="2423D527" w:rsidR="000F6C66" w:rsidRDefault="00000000">
      <w:pPr>
        <w:spacing w:before="240" w:after="240"/>
        <w:jc w:val="both"/>
        <w:rPr>
          <w:sz w:val="21"/>
          <w:szCs w:val="21"/>
        </w:rPr>
      </w:pPr>
      <w:r>
        <w:rPr>
          <w:sz w:val="21"/>
          <w:szCs w:val="21"/>
        </w:rPr>
        <w:t>Que el artículo 16 la Convención sobre la Eliminación de todas las Formas de Discriminación contra la Mujer, establece la eliminación de la discriminación contra la mujer en todos los asuntos relacionados con el matrimonio y las relaciones familiares, asegurando la igualdad entre hombres y mujeres en cuan</w:t>
      </w:r>
      <w:r w:rsidR="008F6BD8">
        <w:rPr>
          <w:sz w:val="21"/>
          <w:szCs w:val="21"/>
        </w:rPr>
        <w:t>t</w:t>
      </w:r>
      <w:r>
        <w:rPr>
          <w:sz w:val="21"/>
          <w:szCs w:val="21"/>
        </w:rPr>
        <w:t xml:space="preserve">o a derechos y responsabilidades como progenitores y respecto </w:t>
      </w:r>
      <w:r w:rsidR="008F6BD8">
        <w:rPr>
          <w:sz w:val="21"/>
          <w:szCs w:val="21"/>
        </w:rPr>
        <w:t xml:space="preserve">a </w:t>
      </w:r>
      <w:r>
        <w:rPr>
          <w:sz w:val="21"/>
          <w:szCs w:val="21"/>
        </w:rPr>
        <w:t xml:space="preserve">la adopción de los hijos. </w:t>
      </w:r>
    </w:p>
    <w:p w14:paraId="29AA1427" w14:textId="77777777" w:rsidR="000F6C66" w:rsidRDefault="00000000">
      <w:pPr>
        <w:spacing w:before="240" w:after="240"/>
        <w:jc w:val="both"/>
        <w:rPr>
          <w:sz w:val="21"/>
          <w:szCs w:val="21"/>
        </w:rPr>
      </w:pPr>
      <w:r>
        <w:rPr>
          <w:sz w:val="21"/>
          <w:szCs w:val="21"/>
        </w:rPr>
        <w:lastRenderedPageBreak/>
        <w:t xml:space="preserve">Que la Convención sobre los Derechos del Niño, reconoce que, para el pleno y armonioso desarrollo de la personalidad de las niñas y niños, deben crecer en el seno de la familia, en un ambiente de felicidad, amor y comprensión. </w:t>
      </w:r>
    </w:p>
    <w:p w14:paraId="7CD3E43F" w14:textId="77777777" w:rsidR="000F6C66" w:rsidRDefault="00000000">
      <w:pPr>
        <w:spacing w:before="240" w:after="240"/>
        <w:jc w:val="both"/>
        <w:rPr>
          <w:sz w:val="21"/>
          <w:szCs w:val="21"/>
        </w:rPr>
      </w:pPr>
      <w:r>
        <w:rPr>
          <w:sz w:val="21"/>
          <w:szCs w:val="21"/>
        </w:rPr>
        <w:t xml:space="preserve">Qué el artículo 3o. de la Convención sobre los Derechos del Niño, en su numeral 2 establece que los Estados parte se comprometen a asegurar a las niñas y niños la protección y el cuidado que sean necesarios para su bienestar, teniendo en cuenta los derechos y deberes de sus padres, tutores u otras personas responsables de ellos ante la ley y, con ese fin, tomarán todas las medidas legislativas y administrativas adecuadas. </w:t>
      </w:r>
    </w:p>
    <w:p w14:paraId="67E83B0C" w14:textId="77777777" w:rsidR="000F6C66" w:rsidRDefault="00000000">
      <w:pPr>
        <w:spacing w:before="240" w:after="240"/>
        <w:jc w:val="both"/>
        <w:rPr>
          <w:sz w:val="21"/>
          <w:szCs w:val="21"/>
        </w:rPr>
      </w:pPr>
      <w:r>
        <w:rPr>
          <w:sz w:val="21"/>
          <w:szCs w:val="21"/>
        </w:rPr>
        <w:t xml:space="preserve">Que el artículo 7o. de la Convención sobre los Derechos del Niño, establece el derecho de las niñas y niños a un nombre, una nacionalidad, conocer a sus padres y ser cuidados por ellos. </w:t>
      </w:r>
    </w:p>
    <w:p w14:paraId="532E266E" w14:textId="77777777" w:rsidR="000F6C66" w:rsidRDefault="00000000">
      <w:pPr>
        <w:spacing w:before="240" w:after="240"/>
        <w:jc w:val="both"/>
        <w:rPr>
          <w:sz w:val="21"/>
          <w:szCs w:val="21"/>
        </w:rPr>
      </w:pPr>
      <w:r>
        <w:rPr>
          <w:sz w:val="21"/>
          <w:szCs w:val="21"/>
        </w:rPr>
        <w:t>Que el artículo 8o. de la Convención sobre los Derechos del Niño, establece el compromiso de los Estados parte de respetar el derecho de las niñas y niños a preservar su identidad, incluidos la nacionalidad, el nombre y las relaciones familiares de conformidad con la ley sin injerencias ilícitas.</w:t>
      </w:r>
    </w:p>
    <w:p w14:paraId="2C853975" w14:textId="77777777" w:rsidR="000F6C66" w:rsidRDefault="00000000">
      <w:pPr>
        <w:spacing w:before="240" w:after="240"/>
        <w:jc w:val="both"/>
        <w:rPr>
          <w:sz w:val="21"/>
          <w:szCs w:val="21"/>
        </w:rPr>
      </w:pPr>
      <w:r>
        <w:rPr>
          <w:sz w:val="21"/>
          <w:szCs w:val="21"/>
        </w:rPr>
        <w:t>Que el artículo 21 de la Convención sobre los Derechos del Niño, reconoce y establece el sistema de adopción cuidando el interés superior de las niñas y niños.</w:t>
      </w:r>
    </w:p>
    <w:p w14:paraId="0DF9FBC6" w14:textId="77777777" w:rsidR="000F6C66" w:rsidRDefault="00000000">
      <w:pPr>
        <w:spacing w:before="240" w:after="240"/>
        <w:jc w:val="both"/>
        <w:rPr>
          <w:sz w:val="21"/>
          <w:szCs w:val="21"/>
        </w:rPr>
      </w:pPr>
      <w:r>
        <w:rPr>
          <w:sz w:val="21"/>
          <w:szCs w:val="21"/>
        </w:rPr>
        <w:t xml:space="preserve">Que el artículo 29 de la Convención sobre la Protección de los Derechos de Todos los Trabajadores Migratorios y de sus Familias, establece que todas las hijas e hijos de las personas trabajadoras migratorias tendrán derecho al registro de su nacimiento y nacionalidad. </w:t>
      </w:r>
    </w:p>
    <w:p w14:paraId="4A3C8C3B" w14:textId="77777777" w:rsidR="000F6C66" w:rsidRDefault="00000000">
      <w:pPr>
        <w:spacing w:before="240" w:after="240"/>
        <w:jc w:val="both"/>
        <w:rPr>
          <w:sz w:val="21"/>
          <w:szCs w:val="21"/>
        </w:rPr>
      </w:pPr>
      <w:r>
        <w:rPr>
          <w:sz w:val="21"/>
          <w:szCs w:val="21"/>
        </w:rPr>
        <w:t xml:space="preserve">Que el artículo 18 de la Convención Americana sobre Derechos Humanos, establece que toda persona tiene derecho a un nombre propio y a los apellidos de sus padres o al de uno de ellos. </w:t>
      </w:r>
    </w:p>
    <w:p w14:paraId="0FDCA135" w14:textId="77777777" w:rsidR="000F6C66" w:rsidRDefault="00000000">
      <w:pPr>
        <w:spacing w:before="240" w:after="240"/>
        <w:jc w:val="both"/>
        <w:rPr>
          <w:sz w:val="21"/>
          <w:szCs w:val="21"/>
        </w:rPr>
      </w:pPr>
      <w:r>
        <w:rPr>
          <w:sz w:val="21"/>
          <w:szCs w:val="21"/>
        </w:rPr>
        <w:t xml:space="preserve">Que el artículo 1o. de la Constitución Política de los Estados Unidos Mexicanos establece que todas las personas gozarán de los derechos humanos reconocidos en ésta y en los Tratados Internacionales en los que el Estado Mexicano sea parte. </w:t>
      </w:r>
    </w:p>
    <w:p w14:paraId="1E2125B4" w14:textId="77777777" w:rsidR="000F6C66" w:rsidRDefault="00000000">
      <w:pPr>
        <w:spacing w:before="240" w:after="240"/>
        <w:jc w:val="both"/>
        <w:rPr>
          <w:sz w:val="21"/>
          <w:szCs w:val="21"/>
        </w:rPr>
      </w:pPr>
      <w:r>
        <w:rPr>
          <w:sz w:val="21"/>
          <w:szCs w:val="21"/>
        </w:rPr>
        <w:t>Que el artículo 4o. de la Constitución Política de los Estados Unidos Mexicanos establece que toda persona tiene derecho a la identidad.</w:t>
      </w:r>
    </w:p>
    <w:p w14:paraId="78B02DBF" w14:textId="77777777" w:rsidR="000F6C66" w:rsidRDefault="00000000">
      <w:pPr>
        <w:spacing w:before="240" w:after="240"/>
        <w:jc w:val="both"/>
        <w:rPr>
          <w:sz w:val="21"/>
          <w:szCs w:val="21"/>
        </w:rPr>
      </w:pPr>
      <w:r>
        <w:rPr>
          <w:sz w:val="21"/>
          <w:szCs w:val="21"/>
        </w:rPr>
        <w:t>Que el artículo 130, párrafo sexto, de la Constitución Política de los Estados Unidos Mexicanos establece que los actos del estado civil de las personas son de la exclusiva competencia de las autoridades administrativas en los términos que establezcan las leyes y tendrán la fuerza y validez que las mismas les atribuyen; por lo que las autoridades federales de las entidades federativas, de los Municipios y de las Alcaldías de la Ciudad de México tendrán en esta materia las facultades y responsabilidades que determine la ley.</w:t>
      </w:r>
    </w:p>
    <w:p w14:paraId="19D803E8" w14:textId="7B93F2BD" w:rsidR="000F6C66" w:rsidRDefault="00000000">
      <w:pPr>
        <w:spacing w:before="240" w:after="240"/>
        <w:jc w:val="both"/>
        <w:rPr>
          <w:sz w:val="21"/>
          <w:szCs w:val="21"/>
        </w:rPr>
      </w:pPr>
      <w:r>
        <w:rPr>
          <w:sz w:val="21"/>
          <w:szCs w:val="21"/>
        </w:rPr>
        <w:t>Que el artículo 3o. de la Constitución Política del Estado de Hidalgo establece que todas las personas tienen el derecho a una buena administración pública y a sus derechos derivados, que consiste</w:t>
      </w:r>
      <w:r w:rsidR="00147E57">
        <w:rPr>
          <w:sz w:val="21"/>
          <w:szCs w:val="21"/>
        </w:rPr>
        <w:t>n</w:t>
      </w:r>
      <w:r>
        <w:rPr>
          <w:sz w:val="21"/>
          <w:szCs w:val="21"/>
        </w:rPr>
        <w:t xml:space="preserve"> en recibir un trato imparcial, objetivo y justo en el despacho de sus asuntos de carácter público, los cuales deben ser resueltos oportunamente y conforme a los principios de eficacia, eficiencia, honestidad, honradez, austeridad, racionalidad, ética, legalidad, transparencia, rendición de cuentas, inclusión, igualdad y equidad.</w:t>
      </w:r>
    </w:p>
    <w:p w14:paraId="0F1A9727" w14:textId="77777777" w:rsidR="000F6C66" w:rsidRDefault="00000000">
      <w:pPr>
        <w:spacing w:before="240" w:after="240"/>
        <w:jc w:val="both"/>
        <w:rPr>
          <w:sz w:val="21"/>
          <w:szCs w:val="21"/>
        </w:rPr>
      </w:pPr>
      <w:r>
        <w:rPr>
          <w:sz w:val="21"/>
          <w:szCs w:val="21"/>
        </w:rPr>
        <w:lastRenderedPageBreak/>
        <w:t>Que el artículo 4o. de la Constitución Política del Estado de Hidalgo establece que en el Estado de Hidalgo, todas las personas gozarán de los derechos humanos que reconoce la Constitución Política de los Estados Unidos Mexicanos, la Constitución Política del Estado de Hidalgo, los tratados internacionales de los que el Estado mexicano sea parte y las leyes secundarias, así como de las garantías para su protección, cuyo ejercicio no podrá restringirse ni suspenderse, salvo en los casos y bajo las condiciones que en la Constitución Federal se establezcan. Así como que, las normas relativas a los derechos humanos se interpretarán de conformidad con la Constitución Federal, la Constitución Política del Estado de Hidalgo y con los tratados internacionales de la materia, favoreciendo en todo tiempo a las personas la protección más amplia.</w:t>
      </w:r>
    </w:p>
    <w:p w14:paraId="0A256BAB" w14:textId="77777777" w:rsidR="000F6C66" w:rsidRDefault="00000000">
      <w:pPr>
        <w:spacing w:before="240" w:after="240"/>
        <w:jc w:val="both"/>
        <w:rPr>
          <w:sz w:val="21"/>
          <w:szCs w:val="21"/>
        </w:rPr>
      </w:pPr>
      <w:r>
        <w:rPr>
          <w:sz w:val="21"/>
          <w:szCs w:val="21"/>
        </w:rPr>
        <w:t>Que el artículo 5o. de la Constitución Política del Estado de Hidalgo establece que la familia es el elemento natural y fundamental de la sociedad y tiene derecho a su protección y desarrollo, por la sociedad, el Estado y la ley. Así como que, toda persona tiene derecho a decidir, de manera libre, responsable e informada, sobre el número y espaciamiento de sus hijos.</w:t>
      </w:r>
    </w:p>
    <w:p w14:paraId="58A030F2" w14:textId="77777777" w:rsidR="000F6C66" w:rsidRDefault="00000000">
      <w:pPr>
        <w:spacing w:before="240" w:after="240"/>
        <w:jc w:val="both"/>
        <w:rPr>
          <w:sz w:val="21"/>
          <w:szCs w:val="21"/>
        </w:rPr>
      </w:pPr>
      <w:r>
        <w:rPr>
          <w:sz w:val="21"/>
          <w:szCs w:val="21"/>
        </w:rPr>
        <w:t xml:space="preserve">Que el artículo 5o. de la Constitución Política del Estado de Hidalgo establece que el Estado, en sus decisiones y actuaciones, velará y cumplirá con el principio del interés superior de la niñez, garantizando de manera plena sus derechos, principio que deberá guiar el diseño, ejecución, seguimiento y evaluación de las políticas públicas dirigidas a la niñez. Asimismo, garantizará a toda persona el derecho a la identidad. </w:t>
      </w:r>
    </w:p>
    <w:p w14:paraId="1482AC1A" w14:textId="77777777" w:rsidR="000F6C66" w:rsidRDefault="00000000">
      <w:pPr>
        <w:spacing w:before="240" w:after="240"/>
        <w:jc w:val="both"/>
        <w:rPr>
          <w:sz w:val="21"/>
          <w:szCs w:val="21"/>
        </w:rPr>
      </w:pPr>
      <w:r>
        <w:rPr>
          <w:sz w:val="21"/>
          <w:szCs w:val="21"/>
        </w:rPr>
        <w:t>Que el Registro del Estado Familiar, es una dependencia de la Administración Pública Estatal, que tiene a su cargo el ejercicio de las atribuciones que le confieren la Ley para la Familia del Estado de Hidalgo y el Reglamento del Registro del Estado Familiar del Estado de Hidalgo.</w:t>
      </w:r>
    </w:p>
    <w:p w14:paraId="74112268" w14:textId="77777777" w:rsidR="000F6C66" w:rsidRDefault="00000000">
      <w:pPr>
        <w:spacing w:before="240" w:after="240"/>
        <w:jc w:val="both"/>
        <w:rPr>
          <w:sz w:val="21"/>
          <w:szCs w:val="21"/>
        </w:rPr>
      </w:pPr>
      <w:r>
        <w:rPr>
          <w:sz w:val="21"/>
          <w:szCs w:val="21"/>
        </w:rPr>
        <w:t>Que dicha dependencia gestiona diversos trámites y servicios inscritos en el Registro Electrónico de Trámites y Servicios, conforme a los artículos 43 y 44 de la Ley General de Mejora Regulatoria.</w:t>
      </w:r>
    </w:p>
    <w:p w14:paraId="5061DC20" w14:textId="69FD2B92" w:rsidR="000F6C66" w:rsidRDefault="00000000">
      <w:pPr>
        <w:spacing w:before="240" w:after="240"/>
        <w:jc w:val="both"/>
        <w:rPr>
          <w:sz w:val="21"/>
          <w:szCs w:val="21"/>
        </w:rPr>
      </w:pPr>
      <w:r>
        <w:rPr>
          <w:sz w:val="21"/>
          <w:szCs w:val="21"/>
        </w:rPr>
        <w:t xml:space="preserve">Que la mejora regulatoria es una política pública crucial para el desarrollo económico y social de un país, misma que implica un proceso continuo de revisión, actualización y optimización de las leyes y regulaciones que rigen la actividad social, con la finalidad de erradicar la burocracia excesiva, la complejidad de los trámites administrativos y la falta de claridad en las normativas, mismas que pueden convertirse en barreras significativas para garantizar el acceso a los derechos humanos. </w:t>
      </w:r>
    </w:p>
    <w:p w14:paraId="5546AAA4" w14:textId="00390D68" w:rsidR="000F6C66" w:rsidRDefault="00000000">
      <w:pPr>
        <w:spacing w:before="240" w:after="240"/>
        <w:jc w:val="both"/>
        <w:rPr>
          <w:sz w:val="21"/>
          <w:szCs w:val="21"/>
        </w:rPr>
      </w:pPr>
      <w:r>
        <w:rPr>
          <w:sz w:val="21"/>
          <w:szCs w:val="21"/>
        </w:rPr>
        <w:t>Que el artículo 25, párrafo décimo; y artículo transitorio Sexto, inciso b) del Decreto por el que se declaran reformadas y adicionadas diversas disposiciones  de</w:t>
      </w:r>
      <w:r w:rsidR="00C62F35">
        <w:rPr>
          <w:sz w:val="21"/>
          <w:szCs w:val="21"/>
        </w:rPr>
        <w:t>l</w:t>
      </w:r>
      <w:r>
        <w:rPr>
          <w:sz w:val="21"/>
          <w:szCs w:val="21"/>
        </w:rPr>
        <w:t xml:space="preserve"> artículo 25</w:t>
      </w:r>
      <w:r w:rsidR="00C62F35">
        <w:rPr>
          <w:sz w:val="21"/>
          <w:szCs w:val="21"/>
        </w:rPr>
        <w:t>,</w:t>
      </w:r>
      <w:r>
        <w:rPr>
          <w:sz w:val="21"/>
          <w:szCs w:val="21"/>
        </w:rPr>
        <w:t xml:space="preserve"> </w:t>
      </w:r>
      <w:r w:rsidR="00C62F35">
        <w:rPr>
          <w:sz w:val="21"/>
          <w:szCs w:val="21"/>
        </w:rPr>
        <w:t>p</w:t>
      </w:r>
      <w:r>
        <w:rPr>
          <w:sz w:val="21"/>
          <w:szCs w:val="21"/>
        </w:rPr>
        <w:t>ublicado en el DOF el 5 de febrero de 2017 de la Constitución Política de los Estados Unidos Mexicanos establece que las autoridades de todos los órdenes de gobierno, en el ámbito de su competencia, deberán implementar políticas públicas de mejora regulatoria para la simplificación de regulaciones, trámites, servicios y demás objetivos que establezca la ley general en la materia</w:t>
      </w:r>
      <w:r w:rsidR="00C62F35">
        <w:rPr>
          <w:sz w:val="21"/>
          <w:szCs w:val="21"/>
        </w:rPr>
        <w:t>.</w:t>
      </w:r>
    </w:p>
    <w:p w14:paraId="130D2874" w14:textId="3587D7CE" w:rsidR="000F6C66" w:rsidRDefault="00000000">
      <w:pPr>
        <w:jc w:val="both"/>
        <w:rPr>
          <w:sz w:val="21"/>
          <w:szCs w:val="21"/>
        </w:rPr>
      </w:pPr>
      <w:r>
        <w:rPr>
          <w:sz w:val="21"/>
          <w:szCs w:val="21"/>
        </w:rPr>
        <w:t xml:space="preserve">Que el artículo 2, </w:t>
      </w:r>
      <w:proofErr w:type="spellStart"/>
      <w:r>
        <w:rPr>
          <w:sz w:val="21"/>
          <w:szCs w:val="21"/>
        </w:rPr>
        <w:t>fracción</w:t>
      </w:r>
      <w:r w:rsidR="00C62F35">
        <w:rPr>
          <w:sz w:val="21"/>
          <w:szCs w:val="21"/>
        </w:rPr>
        <w:t>es</w:t>
      </w:r>
      <w:proofErr w:type="spellEnd"/>
      <w:r>
        <w:rPr>
          <w:sz w:val="21"/>
          <w:szCs w:val="21"/>
        </w:rPr>
        <w:t xml:space="preserve"> I y V de la Ley General de Mejora Regulatoria establece la obligación de las autoridades de todos los órdenes de gobierno de implementar políticas </w:t>
      </w:r>
      <w:r>
        <w:rPr>
          <w:sz w:val="21"/>
          <w:szCs w:val="21"/>
        </w:rPr>
        <w:lastRenderedPageBreak/>
        <w:t xml:space="preserve">públicas de mejora para perfeccionar las regulaciones y simplificar </w:t>
      </w:r>
      <w:r w:rsidR="001A0BEE">
        <w:rPr>
          <w:sz w:val="21"/>
          <w:szCs w:val="21"/>
        </w:rPr>
        <w:t>los</w:t>
      </w:r>
      <w:r>
        <w:rPr>
          <w:sz w:val="21"/>
          <w:szCs w:val="21"/>
        </w:rPr>
        <w:t xml:space="preserve"> trámite</w:t>
      </w:r>
      <w:r w:rsidR="001A0BEE">
        <w:rPr>
          <w:sz w:val="21"/>
          <w:szCs w:val="21"/>
        </w:rPr>
        <w:t>s</w:t>
      </w:r>
      <w:r>
        <w:rPr>
          <w:sz w:val="21"/>
          <w:szCs w:val="21"/>
        </w:rPr>
        <w:t xml:space="preserve"> y servicio</w:t>
      </w:r>
      <w:r w:rsidR="001A0BEE">
        <w:rPr>
          <w:sz w:val="21"/>
          <w:szCs w:val="21"/>
        </w:rPr>
        <w:t>s</w:t>
      </w:r>
      <w:r>
        <w:rPr>
          <w:sz w:val="21"/>
          <w:szCs w:val="21"/>
        </w:rPr>
        <w:t>, incluyendo el uso de tecnologías de la información</w:t>
      </w:r>
      <w:r w:rsidR="001A0BEE">
        <w:rPr>
          <w:sz w:val="21"/>
          <w:szCs w:val="21"/>
        </w:rPr>
        <w:t>.</w:t>
      </w:r>
    </w:p>
    <w:p w14:paraId="7AD59991" w14:textId="77777777" w:rsidR="000F6C66" w:rsidRDefault="000F6C66">
      <w:pPr>
        <w:pBdr>
          <w:top w:val="nil"/>
          <w:left w:val="nil"/>
          <w:bottom w:val="nil"/>
          <w:right w:val="nil"/>
          <w:between w:val="nil"/>
        </w:pBdr>
        <w:jc w:val="both"/>
        <w:rPr>
          <w:sz w:val="21"/>
          <w:szCs w:val="21"/>
        </w:rPr>
      </w:pPr>
    </w:p>
    <w:p w14:paraId="6F714F0D" w14:textId="77777777" w:rsidR="000F6C66" w:rsidRDefault="00000000">
      <w:pPr>
        <w:pBdr>
          <w:top w:val="nil"/>
          <w:left w:val="nil"/>
          <w:bottom w:val="nil"/>
          <w:right w:val="nil"/>
          <w:between w:val="nil"/>
        </w:pBdr>
        <w:jc w:val="both"/>
        <w:rPr>
          <w:sz w:val="21"/>
          <w:szCs w:val="21"/>
        </w:rPr>
      </w:pPr>
      <w:r>
        <w:rPr>
          <w:sz w:val="21"/>
          <w:szCs w:val="21"/>
        </w:rPr>
        <w:t xml:space="preserve">Que la mejora regulatoria se refiere a principios, guías y mejores prácticas globales que buscan mejorar la eficiencia, la transparencia y la efectividad de las regulaciones gubernamentales, con el objetivo de asegurar que las políticas públicas y las normativas sean claras, accesibles y no impongan cargas innecesarias a las personas usuarias, empresas y al Estado; por lo que, la implementación de los estándares internacionales en materia de mejora regulatoria buscan asegurar que las políticas y normas públicas sean efectivas, transparentes y eficientes, reduciendo al mínimo las cargas innecesarias para los ciudadanos y las empresas. </w:t>
      </w:r>
    </w:p>
    <w:p w14:paraId="68F29DD5" w14:textId="77777777" w:rsidR="000F6C66" w:rsidRDefault="000F6C66">
      <w:pPr>
        <w:jc w:val="both"/>
        <w:rPr>
          <w:sz w:val="21"/>
          <w:szCs w:val="21"/>
        </w:rPr>
      </w:pPr>
    </w:p>
    <w:p w14:paraId="3E9DD4D0" w14:textId="77777777" w:rsidR="000F6C66" w:rsidRDefault="00000000">
      <w:pPr>
        <w:jc w:val="both"/>
        <w:rPr>
          <w:sz w:val="21"/>
          <w:szCs w:val="21"/>
        </w:rPr>
      </w:pPr>
      <w:r>
        <w:rPr>
          <w:sz w:val="21"/>
          <w:szCs w:val="21"/>
        </w:rPr>
        <w:t>Que la implementación de medidas de simplificación y digitalización fortalecerá un estado de bienestar, reducirá el costo de la regulación y facilitará el cumplimiento para la ciudadanía y las actividades productivas.</w:t>
      </w:r>
    </w:p>
    <w:p w14:paraId="47FA00A2" w14:textId="77777777" w:rsidR="000F6C66" w:rsidRDefault="000F6C66">
      <w:pPr>
        <w:jc w:val="both"/>
        <w:rPr>
          <w:sz w:val="21"/>
          <w:szCs w:val="21"/>
        </w:rPr>
      </w:pPr>
    </w:p>
    <w:p w14:paraId="5CF73538" w14:textId="77777777" w:rsidR="000F6C66" w:rsidRDefault="00000000">
      <w:pPr>
        <w:jc w:val="both"/>
        <w:rPr>
          <w:sz w:val="21"/>
          <w:szCs w:val="21"/>
        </w:rPr>
      </w:pPr>
      <w:r>
        <w:rPr>
          <w:sz w:val="21"/>
          <w:szCs w:val="21"/>
        </w:rPr>
        <w:t xml:space="preserve">Que la dependencia presentó ante la Comisión Nacional de Mejora Regulatoria su Programa de Mejora Regulatoria para el período 2024-2025. </w:t>
      </w:r>
    </w:p>
    <w:p w14:paraId="12C1948A" w14:textId="77777777" w:rsidR="000F6C66" w:rsidRDefault="000F6C66">
      <w:pPr>
        <w:jc w:val="both"/>
        <w:rPr>
          <w:sz w:val="21"/>
          <w:szCs w:val="21"/>
        </w:rPr>
      </w:pPr>
    </w:p>
    <w:p w14:paraId="276C3AE4" w14:textId="77777777" w:rsidR="000F6C66" w:rsidRDefault="00000000">
      <w:pPr>
        <w:jc w:val="both"/>
        <w:rPr>
          <w:sz w:val="21"/>
          <w:szCs w:val="21"/>
        </w:rPr>
      </w:pPr>
      <w:r>
        <w:rPr>
          <w:sz w:val="21"/>
          <w:szCs w:val="21"/>
        </w:rPr>
        <w:t>Por lo anterior, y con el propósito de implementar las acciones de simplificación, se expide el siguiente:</w:t>
      </w:r>
    </w:p>
    <w:p w14:paraId="7E1BFE9D" w14:textId="77777777" w:rsidR="000F6C66" w:rsidRDefault="000F6C66">
      <w:pPr>
        <w:jc w:val="both"/>
        <w:rPr>
          <w:b/>
          <w:sz w:val="21"/>
          <w:szCs w:val="21"/>
        </w:rPr>
      </w:pPr>
    </w:p>
    <w:p w14:paraId="409D6265" w14:textId="77777777" w:rsidR="00550ABA" w:rsidRDefault="00000000" w:rsidP="00550ABA">
      <w:pPr>
        <w:jc w:val="center"/>
        <w:rPr>
          <w:b/>
          <w:sz w:val="21"/>
          <w:szCs w:val="21"/>
        </w:rPr>
      </w:pPr>
      <w:r>
        <w:rPr>
          <w:b/>
          <w:sz w:val="21"/>
          <w:szCs w:val="21"/>
        </w:rPr>
        <w:t>ACUERDO</w:t>
      </w:r>
    </w:p>
    <w:p w14:paraId="4F72D02A" w14:textId="77777777" w:rsidR="00550ABA" w:rsidRDefault="00550ABA" w:rsidP="00550ABA">
      <w:pPr>
        <w:jc w:val="center"/>
        <w:rPr>
          <w:b/>
          <w:sz w:val="21"/>
          <w:szCs w:val="21"/>
        </w:rPr>
      </w:pPr>
    </w:p>
    <w:p w14:paraId="25F618B6" w14:textId="77777777" w:rsidR="00550ABA" w:rsidRDefault="00550ABA">
      <w:pPr>
        <w:jc w:val="both"/>
        <w:rPr>
          <w:b/>
          <w:sz w:val="21"/>
          <w:szCs w:val="21"/>
        </w:rPr>
      </w:pPr>
    </w:p>
    <w:p w14:paraId="1303B94F" w14:textId="02A8B301" w:rsidR="000F6C66" w:rsidRDefault="00000000">
      <w:pPr>
        <w:jc w:val="both"/>
        <w:rPr>
          <w:b/>
          <w:sz w:val="21"/>
          <w:szCs w:val="21"/>
        </w:rPr>
      </w:pPr>
      <w:r>
        <w:rPr>
          <w:b/>
          <w:sz w:val="21"/>
          <w:szCs w:val="21"/>
        </w:rPr>
        <w:t>POR EL QUE SE DAN A CONOCER LAS MEDIDAS DE SIMPLIFICACIÓN PARA TRÁMITES Y SERVICIOS QUE CORRESPONDE APLICAR POR LA DIRECCIÓN GENERAL DEL REGISTRO DEL ESTADO FAMILIAR DE HIDALGO.</w:t>
      </w:r>
    </w:p>
    <w:p w14:paraId="10E8D150" w14:textId="77777777" w:rsidR="000F6C66" w:rsidRDefault="000F6C66">
      <w:pPr>
        <w:jc w:val="both"/>
        <w:rPr>
          <w:b/>
          <w:sz w:val="21"/>
          <w:szCs w:val="21"/>
        </w:rPr>
      </w:pPr>
    </w:p>
    <w:p w14:paraId="4EB293B9" w14:textId="77777777" w:rsidR="000F6C66" w:rsidRDefault="00000000">
      <w:pPr>
        <w:jc w:val="both"/>
        <w:rPr>
          <w:sz w:val="21"/>
          <w:szCs w:val="21"/>
        </w:rPr>
      </w:pPr>
      <w:r>
        <w:rPr>
          <w:b/>
          <w:sz w:val="21"/>
          <w:szCs w:val="21"/>
          <w:highlight w:val="white"/>
        </w:rPr>
        <w:t>ARTÍCULO PRIMERO. -</w:t>
      </w:r>
      <w:r>
        <w:rPr>
          <w:sz w:val="21"/>
          <w:szCs w:val="21"/>
          <w:highlight w:val="white"/>
        </w:rPr>
        <w:t xml:space="preserve"> S</w:t>
      </w:r>
      <w:r>
        <w:rPr>
          <w:sz w:val="24"/>
          <w:szCs w:val="24"/>
          <w:highlight w:val="white"/>
        </w:rPr>
        <w:t>e implementan las siguientes acciones de mejora en los trámites que se señalan a continuación:</w:t>
      </w:r>
    </w:p>
    <w:p w14:paraId="33D9F9BF" w14:textId="77777777" w:rsidR="000F6C66" w:rsidRDefault="000F6C66">
      <w:pPr>
        <w:jc w:val="both"/>
        <w:rPr>
          <w:sz w:val="21"/>
          <w:szCs w:val="21"/>
        </w:rPr>
      </w:pPr>
    </w:p>
    <w:tbl>
      <w:tblPr>
        <w:tblStyle w:val="a8"/>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5386"/>
        <w:gridCol w:w="3119"/>
      </w:tblGrid>
      <w:tr w:rsidR="000F6C66" w14:paraId="0B6F14BD" w14:textId="77777777">
        <w:tc>
          <w:tcPr>
            <w:tcW w:w="9346" w:type="dxa"/>
            <w:gridSpan w:val="3"/>
            <w:shd w:val="clear" w:color="auto" w:fill="D9D9D9"/>
            <w:tcMar>
              <w:top w:w="100" w:type="dxa"/>
              <w:left w:w="100" w:type="dxa"/>
              <w:bottom w:w="100" w:type="dxa"/>
              <w:right w:w="100" w:type="dxa"/>
            </w:tcMar>
          </w:tcPr>
          <w:p w14:paraId="4C4EF08C" w14:textId="77777777" w:rsidR="000F6C66" w:rsidRDefault="00000000">
            <w:pPr>
              <w:widowControl w:val="0"/>
              <w:pBdr>
                <w:top w:val="nil"/>
                <w:left w:val="nil"/>
                <w:bottom w:val="nil"/>
                <w:right w:val="nil"/>
                <w:between w:val="nil"/>
              </w:pBdr>
              <w:spacing w:line="240" w:lineRule="auto"/>
              <w:jc w:val="center"/>
              <w:rPr>
                <w:b/>
                <w:sz w:val="21"/>
                <w:szCs w:val="21"/>
              </w:rPr>
            </w:pPr>
            <w:r>
              <w:rPr>
                <w:b/>
                <w:sz w:val="21"/>
                <w:szCs w:val="21"/>
              </w:rPr>
              <w:t>DIRECCIÓN GENERAL DEL REGISTRO DEL ESTADO FAMILIAR DE HIDALGO</w:t>
            </w:r>
          </w:p>
        </w:tc>
      </w:tr>
      <w:tr w:rsidR="000F6C66" w14:paraId="632F32F3" w14:textId="77777777">
        <w:tc>
          <w:tcPr>
            <w:tcW w:w="841" w:type="dxa"/>
            <w:shd w:val="clear" w:color="auto" w:fill="D9D9D9"/>
            <w:tcMar>
              <w:top w:w="100" w:type="dxa"/>
              <w:left w:w="100" w:type="dxa"/>
              <w:bottom w:w="100" w:type="dxa"/>
              <w:right w:w="100" w:type="dxa"/>
            </w:tcMar>
          </w:tcPr>
          <w:p w14:paraId="3F7B3D06" w14:textId="77777777" w:rsidR="000F6C66" w:rsidRDefault="00000000">
            <w:pPr>
              <w:widowControl w:val="0"/>
              <w:pBdr>
                <w:top w:val="nil"/>
                <w:left w:val="nil"/>
                <w:bottom w:val="nil"/>
                <w:right w:val="nil"/>
                <w:between w:val="nil"/>
              </w:pBdr>
              <w:spacing w:line="240" w:lineRule="auto"/>
              <w:jc w:val="center"/>
              <w:rPr>
                <w:b/>
                <w:sz w:val="21"/>
                <w:szCs w:val="21"/>
              </w:rPr>
            </w:pPr>
            <w:r>
              <w:rPr>
                <w:b/>
                <w:sz w:val="21"/>
                <w:szCs w:val="21"/>
              </w:rPr>
              <w:t>No.</w:t>
            </w:r>
          </w:p>
        </w:tc>
        <w:tc>
          <w:tcPr>
            <w:tcW w:w="5386" w:type="dxa"/>
            <w:shd w:val="clear" w:color="auto" w:fill="D9D9D9"/>
            <w:tcMar>
              <w:top w:w="100" w:type="dxa"/>
              <w:left w:w="100" w:type="dxa"/>
              <w:bottom w:w="100" w:type="dxa"/>
              <w:right w:w="100" w:type="dxa"/>
            </w:tcMar>
          </w:tcPr>
          <w:p w14:paraId="75E0E904" w14:textId="77777777" w:rsidR="000F6C66" w:rsidRDefault="00000000">
            <w:pPr>
              <w:widowControl w:val="0"/>
              <w:pBdr>
                <w:top w:val="nil"/>
                <w:left w:val="nil"/>
                <w:bottom w:val="nil"/>
                <w:right w:val="nil"/>
                <w:between w:val="nil"/>
              </w:pBdr>
              <w:spacing w:line="240" w:lineRule="auto"/>
              <w:jc w:val="center"/>
              <w:rPr>
                <w:b/>
                <w:sz w:val="21"/>
                <w:szCs w:val="21"/>
              </w:rPr>
            </w:pPr>
            <w:r>
              <w:rPr>
                <w:b/>
                <w:sz w:val="21"/>
                <w:szCs w:val="21"/>
              </w:rPr>
              <w:t>Nombre del trámite</w:t>
            </w:r>
          </w:p>
        </w:tc>
        <w:tc>
          <w:tcPr>
            <w:tcW w:w="3119" w:type="dxa"/>
            <w:shd w:val="clear" w:color="auto" w:fill="D9D9D9"/>
            <w:tcMar>
              <w:top w:w="100" w:type="dxa"/>
              <w:left w:w="100" w:type="dxa"/>
              <w:bottom w:w="100" w:type="dxa"/>
              <w:right w:w="100" w:type="dxa"/>
            </w:tcMar>
          </w:tcPr>
          <w:p w14:paraId="5058367D" w14:textId="77777777" w:rsidR="000F6C66" w:rsidRDefault="00000000">
            <w:pPr>
              <w:widowControl w:val="0"/>
              <w:pBdr>
                <w:top w:val="nil"/>
                <w:left w:val="nil"/>
                <w:bottom w:val="nil"/>
                <w:right w:val="nil"/>
                <w:between w:val="nil"/>
              </w:pBdr>
              <w:spacing w:line="240" w:lineRule="auto"/>
              <w:jc w:val="center"/>
              <w:rPr>
                <w:b/>
                <w:sz w:val="21"/>
                <w:szCs w:val="21"/>
              </w:rPr>
            </w:pPr>
            <w:r>
              <w:rPr>
                <w:b/>
                <w:sz w:val="21"/>
                <w:szCs w:val="21"/>
              </w:rPr>
              <w:t>Plazo máximo para resolver el trámite</w:t>
            </w:r>
          </w:p>
        </w:tc>
      </w:tr>
      <w:tr w:rsidR="000F6C66" w14:paraId="04F8887A" w14:textId="77777777">
        <w:tc>
          <w:tcPr>
            <w:tcW w:w="841" w:type="dxa"/>
            <w:shd w:val="clear" w:color="auto" w:fill="auto"/>
            <w:tcMar>
              <w:top w:w="100" w:type="dxa"/>
              <w:left w:w="100" w:type="dxa"/>
              <w:bottom w:w="100" w:type="dxa"/>
              <w:right w:w="100" w:type="dxa"/>
            </w:tcMar>
          </w:tcPr>
          <w:p w14:paraId="24C27071"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t>1</w:t>
            </w:r>
          </w:p>
        </w:tc>
        <w:tc>
          <w:tcPr>
            <w:tcW w:w="5386" w:type="dxa"/>
            <w:shd w:val="clear" w:color="auto" w:fill="auto"/>
            <w:tcMar>
              <w:top w:w="100" w:type="dxa"/>
              <w:left w:w="100" w:type="dxa"/>
              <w:bottom w:w="100" w:type="dxa"/>
              <w:right w:w="100" w:type="dxa"/>
            </w:tcMar>
          </w:tcPr>
          <w:p w14:paraId="5260628F" w14:textId="77777777" w:rsidR="000F6C66" w:rsidRDefault="00000000">
            <w:pPr>
              <w:widowControl w:val="0"/>
              <w:pBdr>
                <w:top w:val="nil"/>
                <w:left w:val="nil"/>
                <w:bottom w:val="nil"/>
                <w:right w:val="nil"/>
                <w:between w:val="nil"/>
              </w:pBdr>
              <w:spacing w:line="240" w:lineRule="auto"/>
              <w:rPr>
                <w:sz w:val="21"/>
                <w:szCs w:val="21"/>
                <w:highlight w:val="white"/>
              </w:rPr>
            </w:pPr>
            <w:r>
              <w:rPr>
                <w:sz w:val="21"/>
                <w:szCs w:val="21"/>
                <w:highlight w:val="white"/>
              </w:rPr>
              <w:t>Registro de Adopción</w:t>
            </w:r>
          </w:p>
        </w:tc>
        <w:tc>
          <w:tcPr>
            <w:tcW w:w="3119" w:type="dxa"/>
            <w:shd w:val="clear" w:color="auto" w:fill="auto"/>
            <w:tcMar>
              <w:top w:w="100" w:type="dxa"/>
              <w:left w:w="100" w:type="dxa"/>
              <w:bottom w:w="100" w:type="dxa"/>
              <w:right w:w="100" w:type="dxa"/>
            </w:tcMar>
          </w:tcPr>
          <w:p w14:paraId="56B1FB0A"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t>30 minutos</w:t>
            </w:r>
          </w:p>
        </w:tc>
      </w:tr>
      <w:tr w:rsidR="000F6C66" w14:paraId="51C4687B" w14:textId="77777777">
        <w:tc>
          <w:tcPr>
            <w:tcW w:w="841" w:type="dxa"/>
            <w:shd w:val="clear" w:color="auto" w:fill="auto"/>
            <w:tcMar>
              <w:top w:w="100" w:type="dxa"/>
              <w:left w:w="100" w:type="dxa"/>
              <w:bottom w:w="100" w:type="dxa"/>
              <w:right w:w="100" w:type="dxa"/>
            </w:tcMar>
          </w:tcPr>
          <w:p w14:paraId="4D985BA1"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t>2</w:t>
            </w:r>
          </w:p>
        </w:tc>
        <w:tc>
          <w:tcPr>
            <w:tcW w:w="5386" w:type="dxa"/>
            <w:shd w:val="clear" w:color="auto" w:fill="auto"/>
            <w:tcMar>
              <w:top w:w="100" w:type="dxa"/>
              <w:left w:w="100" w:type="dxa"/>
              <w:bottom w:w="100" w:type="dxa"/>
              <w:right w:w="100" w:type="dxa"/>
            </w:tcMar>
          </w:tcPr>
          <w:p w14:paraId="690008E0" w14:textId="77777777" w:rsidR="000F6C66" w:rsidRDefault="00000000">
            <w:pPr>
              <w:widowControl w:val="0"/>
              <w:pBdr>
                <w:top w:val="nil"/>
                <w:left w:val="nil"/>
                <w:bottom w:val="nil"/>
                <w:right w:val="nil"/>
                <w:between w:val="nil"/>
              </w:pBdr>
              <w:spacing w:line="240" w:lineRule="auto"/>
              <w:rPr>
                <w:sz w:val="21"/>
                <w:szCs w:val="21"/>
                <w:highlight w:val="white"/>
              </w:rPr>
            </w:pPr>
            <w:r>
              <w:rPr>
                <w:sz w:val="21"/>
                <w:szCs w:val="21"/>
                <w:highlight w:val="white"/>
              </w:rPr>
              <w:t>Reconocimiento Voluntario</w:t>
            </w:r>
          </w:p>
        </w:tc>
        <w:tc>
          <w:tcPr>
            <w:tcW w:w="3119" w:type="dxa"/>
            <w:shd w:val="clear" w:color="auto" w:fill="auto"/>
            <w:tcMar>
              <w:top w:w="100" w:type="dxa"/>
              <w:left w:w="100" w:type="dxa"/>
              <w:bottom w:w="100" w:type="dxa"/>
              <w:right w:w="100" w:type="dxa"/>
            </w:tcMar>
          </w:tcPr>
          <w:p w14:paraId="41616DF7" w14:textId="77777777" w:rsidR="000F6C66" w:rsidRDefault="00000000">
            <w:pPr>
              <w:widowControl w:val="0"/>
              <w:pBdr>
                <w:top w:val="nil"/>
                <w:left w:val="nil"/>
                <w:bottom w:val="nil"/>
                <w:right w:val="nil"/>
                <w:between w:val="nil"/>
              </w:pBdr>
              <w:spacing w:line="240" w:lineRule="auto"/>
              <w:jc w:val="center"/>
              <w:rPr>
                <w:sz w:val="21"/>
                <w:szCs w:val="21"/>
                <w:highlight w:val="yellow"/>
              </w:rPr>
            </w:pPr>
            <w:r>
              <w:rPr>
                <w:sz w:val="21"/>
                <w:szCs w:val="21"/>
                <w:highlight w:val="white"/>
              </w:rPr>
              <w:t>30 minutos</w:t>
            </w:r>
          </w:p>
        </w:tc>
      </w:tr>
      <w:tr w:rsidR="000F6C66" w14:paraId="5A929064" w14:textId="77777777">
        <w:tc>
          <w:tcPr>
            <w:tcW w:w="841" w:type="dxa"/>
            <w:shd w:val="clear" w:color="auto" w:fill="auto"/>
            <w:tcMar>
              <w:top w:w="100" w:type="dxa"/>
              <w:left w:w="100" w:type="dxa"/>
              <w:bottom w:w="100" w:type="dxa"/>
              <w:right w:w="100" w:type="dxa"/>
            </w:tcMar>
          </w:tcPr>
          <w:p w14:paraId="76E92905"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t>3</w:t>
            </w:r>
          </w:p>
        </w:tc>
        <w:tc>
          <w:tcPr>
            <w:tcW w:w="5386" w:type="dxa"/>
            <w:shd w:val="clear" w:color="auto" w:fill="auto"/>
            <w:tcMar>
              <w:top w:w="100" w:type="dxa"/>
              <w:left w:w="100" w:type="dxa"/>
              <w:bottom w:w="100" w:type="dxa"/>
              <w:right w:w="100" w:type="dxa"/>
            </w:tcMar>
          </w:tcPr>
          <w:p w14:paraId="69D7AC0F" w14:textId="77777777" w:rsidR="000F6C66" w:rsidRDefault="00000000">
            <w:pPr>
              <w:widowControl w:val="0"/>
              <w:pBdr>
                <w:top w:val="nil"/>
                <w:left w:val="nil"/>
                <w:bottom w:val="nil"/>
                <w:right w:val="nil"/>
                <w:between w:val="nil"/>
              </w:pBdr>
              <w:spacing w:line="240" w:lineRule="auto"/>
              <w:rPr>
                <w:sz w:val="21"/>
                <w:szCs w:val="21"/>
                <w:highlight w:val="white"/>
              </w:rPr>
            </w:pPr>
            <w:r>
              <w:rPr>
                <w:sz w:val="21"/>
                <w:szCs w:val="21"/>
                <w:highlight w:val="white"/>
              </w:rPr>
              <w:t>Reconocimiento Jurisdiccional</w:t>
            </w:r>
          </w:p>
        </w:tc>
        <w:tc>
          <w:tcPr>
            <w:tcW w:w="3119" w:type="dxa"/>
            <w:shd w:val="clear" w:color="auto" w:fill="auto"/>
            <w:tcMar>
              <w:top w:w="100" w:type="dxa"/>
              <w:left w:w="100" w:type="dxa"/>
              <w:bottom w:w="100" w:type="dxa"/>
              <w:right w:w="100" w:type="dxa"/>
            </w:tcMar>
          </w:tcPr>
          <w:p w14:paraId="11F0B669"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t>30 minutos</w:t>
            </w:r>
          </w:p>
        </w:tc>
      </w:tr>
    </w:tbl>
    <w:p w14:paraId="43BA39A6" w14:textId="77777777" w:rsidR="000F6C66" w:rsidRDefault="000F6C66">
      <w:pPr>
        <w:jc w:val="both"/>
        <w:rPr>
          <w:sz w:val="21"/>
          <w:szCs w:val="21"/>
        </w:rPr>
      </w:pPr>
    </w:p>
    <w:p w14:paraId="5A426FAB" w14:textId="77777777" w:rsidR="000F6C66" w:rsidRDefault="00000000">
      <w:pPr>
        <w:spacing w:before="240" w:after="240"/>
        <w:jc w:val="both"/>
        <w:rPr>
          <w:sz w:val="21"/>
          <w:szCs w:val="21"/>
          <w:highlight w:val="white"/>
        </w:rPr>
      </w:pPr>
      <w:r>
        <w:rPr>
          <w:b/>
          <w:sz w:val="21"/>
          <w:szCs w:val="21"/>
          <w:highlight w:val="white"/>
        </w:rPr>
        <w:t>ARTÍCULO SEGUNDO. -</w:t>
      </w:r>
      <w:r>
        <w:rPr>
          <w:sz w:val="21"/>
          <w:szCs w:val="21"/>
          <w:highlight w:val="white"/>
        </w:rPr>
        <w:t xml:space="preserve"> Se elimina el </w:t>
      </w:r>
      <w:r>
        <w:rPr>
          <w:sz w:val="21"/>
          <w:szCs w:val="21"/>
        </w:rPr>
        <w:t xml:space="preserve">requerimiento </w:t>
      </w:r>
      <w:r>
        <w:rPr>
          <w:sz w:val="21"/>
          <w:szCs w:val="21"/>
          <w:highlight w:val="white"/>
        </w:rPr>
        <w:t>de presentar los siguientes requisitos para los trámites que se señalan a continuación:</w:t>
      </w:r>
    </w:p>
    <w:tbl>
      <w:tblPr>
        <w:tblStyle w:val="a9"/>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4252"/>
        <w:gridCol w:w="4253"/>
      </w:tblGrid>
      <w:tr w:rsidR="000F6C66" w14:paraId="69940728" w14:textId="77777777">
        <w:tc>
          <w:tcPr>
            <w:tcW w:w="9346" w:type="dxa"/>
            <w:gridSpan w:val="3"/>
            <w:shd w:val="clear" w:color="auto" w:fill="D9D9D9"/>
            <w:tcMar>
              <w:top w:w="100" w:type="dxa"/>
              <w:left w:w="100" w:type="dxa"/>
              <w:bottom w:w="100" w:type="dxa"/>
              <w:right w:w="100" w:type="dxa"/>
            </w:tcMar>
          </w:tcPr>
          <w:p w14:paraId="41C2CF35" w14:textId="77777777" w:rsidR="000F6C66" w:rsidRDefault="00000000">
            <w:pPr>
              <w:widowControl w:val="0"/>
              <w:spacing w:line="240" w:lineRule="auto"/>
              <w:jc w:val="center"/>
              <w:rPr>
                <w:b/>
                <w:sz w:val="21"/>
                <w:szCs w:val="21"/>
              </w:rPr>
            </w:pPr>
            <w:r>
              <w:rPr>
                <w:b/>
                <w:sz w:val="21"/>
                <w:szCs w:val="21"/>
              </w:rPr>
              <w:lastRenderedPageBreak/>
              <w:t>DIRECCIÓN GENERAL DEL REGISTRO DEL ESTADO FAMILIAR DE HIDALGO</w:t>
            </w:r>
          </w:p>
        </w:tc>
      </w:tr>
      <w:tr w:rsidR="000F6C66" w14:paraId="0E6DF3AF" w14:textId="77777777">
        <w:tc>
          <w:tcPr>
            <w:tcW w:w="841" w:type="dxa"/>
            <w:shd w:val="clear" w:color="auto" w:fill="D9D9D9"/>
            <w:tcMar>
              <w:top w:w="100" w:type="dxa"/>
              <w:left w:w="100" w:type="dxa"/>
              <w:bottom w:w="100" w:type="dxa"/>
              <w:right w:w="100" w:type="dxa"/>
            </w:tcMar>
          </w:tcPr>
          <w:p w14:paraId="6EE380BD" w14:textId="77777777" w:rsidR="000F6C66" w:rsidRDefault="00000000">
            <w:pPr>
              <w:widowControl w:val="0"/>
              <w:pBdr>
                <w:top w:val="nil"/>
                <w:left w:val="nil"/>
                <w:bottom w:val="nil"/>
                <w:right w:val="nil"/>
                <w:between w:val="nil"/>
              </w:pBdr>
              <w:spacing w:line="240" w:lineRule="auto"/>
              <w:jc w:val="center"/>
              <w:rPr>
                <w:b/>
                <w:sz w:val="21"/>
                <w:szCs w:val="21"/>
              </w:rPr>
            </w:pPr>
            <w:r>
              <w:rPr>
                <w:b/>
                <w:sz w:val="21"/>
                <w:szCs w:val="21"/>
              </w:rPr>
              <w:t>No.</w:t>
            </w:r>
          </w:p>
        </w:tc>
        <w:tc>
          <w:tcPr>
            <w:tcW w:w="4252" w:type="dxa"/>
            <w:shd w:val="clear" w:color="auto" w:fill="D9D9D9"/>
            <w:tcMar>
              <w:top w:w="100" w:type="dxa"/>
              <w:left w:w="100" w:type="dxa"/>
              <w:bottom w:w="100" w:type="dxa"/>
              <w:right w:w="100" w:type="dxa"/>
            </w:tcMar>
          </w:tcPr>
          <w:p w14:paraId="28CED27D" w14:textId="77777777" w:rsidR="000F6C66" w:rsidRDefault="00000000">
            <w:pPr>
              <w:widowControl w:val="0"/>
              <w:pBdr>
                <w:top w:val="nil"/>
                <w:left w:val="nil"/>
                <w:bottom w:val="nil"/>
                <w:right w:val="nil"/>
                <w:between w:val="nil"/>
              </w:pBdr>
              <w:spacing w:line="240" w:lineRule="auto"/>
              <w:jc w:val="center"/>
              <w:rPr>
                <w:b/>
                <w:sz w:val="21"/>
                <w:szCs w:val="21"/>
              </w:rPr>
            </w:pPr>
            <w:r>
              <w:rPr>
                <w:b/>
                <w:sz w:val="21"/>
                <w:szCs w:val="21"/>
              </w:rPr>
              <w:t>Nombre del trámite</w:t>
            </w:r>
          </w:p>
        </w:tc>
        <w:tc>
          <w:tcPr>
            <w:tcW w:w="4253" w:type="dxa"/>
            <w:shd w:val="clear" w:color="auto" w:fill="D9D9D9"/>
            <w:tcMar>
              <w:top w:w="100" w:type="dxa"/>
              <w:left w:w="100" w:type="dxa"/>
              <w:bottom w:w="100" w:type="dxa"/>
              <w:right w:w="100" w:type="dxa"/>
            </w:tcMar>
          </w:tcPr>
          <w:p w14:paraId="216DDAC1" w14:textId="77777777" w:rsidR="000F6C66" w:rsidRDefault="00000000">
            <w:pPr>
              <w:widowControl w:val="0"/>
              <w:pBdr>
                <w:top w:val="nil"/>
                <w:left w:val="nil"/>
                <w:bottom w:val="nil"/>
                <w:right w:val="nil"/>
                <w:between w:val="nil"/>
              </w:pBdr>
              <w:spacing w:line="240" w:lineRule="auto"/>
              <w:jc w:val="center"/>
              <w:rPr>
                <w:b/>
                <w:sz w:val="21"/>
                <w:szCs w:val="21"/>
              </w:rPr>
            </w:pPr>
            <w:r>
              <w:rPr>
                <w:b/>
                <w:sz w:val="21"/>
                <w:szCs w:val="21"/>
              </w:rPr>
              <w:t>Requisitos eliminados</w:t>
            </w:r>
          </w:p>
        </w:tc>
      </w:tr>
      <w:tr w:rsidR="000F6C66" w14:paraId="482BB645" w14:textId="77777777">
        <w:tc>
          <w:tcPr>
            <w:tcW w:w="841" w:type="dxa"/>
            <w:shd w:val="clear" w:color="auto" w:fill="auto"/>
            <w:tcMar>
              <w:top w:w="100" w:type="dxa"/>
              <w:left w:w="100" w:type="dxa"/>
              <w:bottom w:w="100" w:type="dxa"/>
              <w:right w:w="100" w:type="dxa"/>
            </w:tcMar>
          </w:tcPr>
          <w:p w14:paraId="2B2A44B0"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t>1</w:t>
            </w:r>
          </w:p>
        </w:tc>
        <w:tc>
          <w:tcPr>
            <w:tcW w:w="4252" w:type="dxa"/>
            <w:shd w:val="clear" w:color="auto" w:fill="auto"/>
            <w:tcMar>
              <w:top w:w="100" w:type="dxa"/>
              <w:left w:w="100" w:type="dxa"/>
              <w:bottom w:w="100" w:type="dxa"/>
              <w:right w:w="100" w:type="dxa"/>
            </w:tcMar>
          </w:tcPr>
          <w:p w14:paraId="0F99CBB0" w14:textId="77777777" w:rsidR="000F6C66" w:rsidRDefault="00000000">
            <w:pPr>
              <w:widowControl w:val="0"/>
              <w:pBdr>
                <w:top w:val="nil"/>
                <w:left w:val="nil"/>
                <w:bottom w:val="nil"/>
                <w:right w:val="nil"/>
                <w:between w:val="nil"/>
              </w:pBdr>
              <w:spacing w:line="240" w:lineRule="auto"/>
              <w:rPr>
                <w:sz w:val="21"/>
                <w:szCs w:val="21"/>
                <w:highlight w:val="white"/>
              </w:rPr>
            </w:pPr>
            <w:r>
              <w:rPr>
                <w:sz w:val="21"/>
                <w:szCs w:val="21"/>
                <w:highlight w:val="white"/>
              </w:rPr>
              <w:t>Registro de Adopción</w:t>
            </w:r>
          </w:p>
        </w:tc>
        <w:tc>
          <w:tcPr>
            <w:tcW w:w="4253" w:type="dxa"/>
            <w:shd w:val="clear" w:color="auto" w:fill="auto"/>
            <w:tcMar>
              <w:top w:w="100" w:type="dxa"/>
              <w:left w:w="100" w:type="dxa"/>
              <w:bottom w:w="100" w:type="dxa"/>
              <w:right w:w="100" w:type="dxa"/>
            </w:tcMar>
          </w:tcPr>
          <w:p w14:paraId="1A27D7D0" w14:textId="77777777" w:rsidR="000F6C66" w:rsidRDefault="00000000">
            <w:pPr>
              <w:pBdr>
                <w:top w:val="nil"/>
                <w:left w:val="nil"/>
                <w:bottom w:val="nil"/>
                <w:right w:val="nil"/>
                <w:between w:val="nil"/>
              </w:pBdr>
              <w:jc w:val="both"/>
              <w:rPr>
                <w:color w:val="000000"/>
                <w:sz w:val="21"/>
                <w:szCs w:val="21"/>
              </w:rPr>
            </w:pPr>
            <w:r>
              <w:rPr>
                <w:color w:val="000000"/>
                <w:sz w:val="21"/>
                <w:szCs w:val="21"/>
              </w:rPr>
              <w:t>I. De establecerse los datos de identificación de la persona adoptada en la sentencia correspondiente, copia certificada del acta de nacimiento de la persona adoptada;</w:t>
            </w:r>
          </w:p>
          <w:p w14:paraId="058EF4DF" w14:textId="77777777" w:rsidR="000F6C66" w:rsidRDefault="000F6C66">
            <w:pPr>
              <w:pBdr>
                <w:top w:val="nil"/>
                <w:left w:val="nil"/>
                <w:bottom w:val="nil"/>
                <w:right w:val="nil"/>
                <w:between w:val="nil"/>
              </w:pBdr>
              <w:jc w:val="both"/>
              <w:rPr>
                <w:color w:val="000000"/>
                <w:sz w:val="21"/>
                <w:szCs w:val="21"/>
              </w:rPr>
            </w:pPr>
          </w:p>
          <w:p w14:paraId="5854CC3A" w14:textId="77777777" w:rsidR="000F6C66" w:rsidRDefault="00000000">
            <w:pPr>
              <w:pBdr>
                <w:top w:val="nil"/>
                <w:left w:val="nil"/>
                <w:bottom w:val="nil"/>
                <w:right w:val="nil"/>
                <w:between w:val="nil"/>
              </w:pBdr>
              <w:jc w:val="both"/>
              <w:rPr>
                <w:color w:val="000000"/>
                <w:sz w:val="21"/>
                <w:szCs w:val="21"/>
              </w:rPr>
            </w:pPr>
            <w:r>
              <w:rPr>
                <w:color w:val="000000"/>
                <w:sz w:val="21"/>
                <w:szCs w:val="21"/>
              </w:rPr>
              <w:t>II. Para efectuar un nuevo registro mismos requisitos que en nacimiento.</w:t>
            </w:r>
          </w:p>
        </w:tc>
      </w:tr>
      <w:tr w:rsidR="000F6C66" w14:paraId="225E84AA" w14:textId="77777777">
        <w:tc>
          <w:tcPr>
            <w:tcW w:w="841" w:type="dxa"/>
            <w:shd w:val="clear" w:color="auto" w:fill="auto"/>
            <w:tcMar>
              <w:top w:w="100" w:type="dxa"/>
              <w:left w:w="100" w:type="dxa"/>
              <w:bottom w:w="100" w:type="dxa"/>
              <w:right w:w="100" w:type="dxa"/>
            </w:tcMar>
          </w:tcPr>
          <w:p w14:paraId="4FFC4FCE"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t>2</w:t>
            </w:r>
          </w:p>
        </w:tc>
        <w:tc>
          <w:tcPr>
            <w:tcW w:w="4252" w:type="dxa"/>
            <w:shd w:val="clear" w:color="auto" w:fill="auto"/>
            <w:tcMar>
              <w:top w:w="100" w:type="dxa"/>
              <w:left w:w="100" w:type="dxa"/>
              <w:bottom w:w="100" w:type="dxa"/>
              <w:right w:w="100" w:type="dxa"/>
            </w:tcMar>
          </w:tcPr>
          <w:p w14:paraId="1D8E6A67" w14:textId="77777777" w:rsidR="000F6C66" w:rsidRDefault="00000000">
            <w:pPr>
              <w:widowControl w:val="0"/>
              <w:pBdr>
                <w:top w:val="nil"/>
                <w:left w:val="nil"/>
                <w:bottom w:val="nil"/>
                <w:right w:val="nil"/>
                <w:between w:val="nil"/>
              </w:pBdr>
              <w:spacing w:line="240" w:lineRule="auto"/>
              <w:rPr>
                <w:sz w:val="21"/>
                <w:szCs w:val="21"/>
                <w:highlight w:val="white"/>
              </w:rPr>
            </w:pPr>
            <w:r>
              <w:rPr>
                <w:sz w:val="21"/>
                <w:szCs w:val="21"/>
                <w:highlight w:val="white"/>
              </w:rPr>
              <w:t>Reconocimiento Voluntario</w:t>
            </w:r>
          </w:p>
        </w:tc>
        <w:tc>
          <w:tcPr>
            <w:tcW w:w="4253" w:type="dxa"/>
            <w:shd w:val="clear" w:color="auto" w:fill="auto"/>
            <w:tcMar>
              <w:top w:w="100" w:type="dxa"/>
              <w:left w:w="100" w:type="dxa"/>
              <w:bottom w:w="100" w:type="dxa"/>
              <w:right w:w="100" w:type="dxa"/>
            </w:tcMar>
          </w:tcPr>
          <w:p w14:paraId="7B94BFB7" w14:textId="77777777" w:rsidR="000F6C66" w:rsidRDefault="00000000">
            <w:pPr>
              <w:widowControl w:val="0"/>
              <w:pBdr>
                <w:top w:val="nil"/>
                <w:left w:val="nil"/>
                <w:bottom w:val="nil"/>
                <w:right w:val="nil"/>
                <w:between w:val="nil"/>
              </w:pBdr>
              <w:spacing w:line="240" w:lineRule="auto"/>
              <w:jc w:val="both"/>
              <w:rPr>
                <w:sz w:val="21"/>
                <w:szCs w:val="21"/>
                <w:highlight w:val="white"/>
              </w:rPr>
            </w:pPr>
            <w:r>
              <w:rPr>
                <w:sz w:val="21"/>
                <w:szCs w:val="21"/>
                <w:highlight w:val="white"/>
              </w:rPr>
              <w:t>I. Copia certificada del acta de nacimiento de ambos padres;</w:t>
            </w:r>
          </w:p>
          <w:p w14:paraId="148BC891" w14:textId="77777777" w:rsidR="000F6C66" w:rsidRDefault="000F6C66">
            <w:pPr>
              <w:widowControl w:val="0"/>
              <w:pBdr>
                <w:top w:val="nil"/>
                <w:left w:val="nil"/>
                <w:bottom w:val="nil"/>
                <w:right w:val="nil"/>
                <w:between w:val="nil"/>
              </w:pBdr>
              <w:spacing w:line="240" w:lineRule="auto"/>
              <w:jc w:val="both"/>
              <w:rPr>
                <w:sz w:val="21"/>
                <w:szCs w:val="21"/>
                <w:highlight w:val="white"/>
              </w:rPr>
            </w:pPr>
          </w:p>
          <w:p w14:paraId="519A2A88" w14:textId="77777777" w:rsidR="000F6C66" w:rsidRDefault="00000000">
            <w:pPr>
              <w:widowControl w:val="0"/>
              <w:pBdr>
                <w:top w:val="nil"/>
                <w:left w:val="nil"/>
                <w:bottom w:val="nil"/>
                <w:right w:val="nil"/>
                <w:between w:val="nil"/>
              </w:pBdr>
              <w:spacing w:line="240" w:lineRule="auto"/>
              <w:jc w:val="both"/>
              <w:rPr>
                <w:sz w:val="21"/>
                <w:szCs w:val="21"/>
                <w:highlight w:val="white"/>
              </w:rPr>
            </w:pPr>
            <w:r>
              <w:rPr>
                <w:sz w:val="21"/>
                <w:szCs w:val="21"/>
                <w:highlight w:val="white"/>
              </w:rPr>
              <w:t>II. Presencia de dos testigos mayores de edad con identificación oficial.</w:t>
            </w:r>
          </w:p>
        </w:tc>
      </w:tr>
      <w:tr w:rsidR="000F6C66" w14:paraId="737031A9" w14:textId="77777777">
        <w:tc>
          <w:tcPr>
            <w:tcW w:w="841" w:type="dxa"/>
            <w:shd w:val="clear" w:color="auto" w:fill="auto"/>
            <w:tcMar>
              <w:top w:w="100" w:type="dxa"/>
              <w:left w:w="100" w:type="dxa"/>
              <w:bottom w:w="100" w:type="dxa"/>
              <w:right w:w="100" w:type="dxa"/>
            </w:tcMar>
          </w:tcPr>
          <w:p w14:paraId="1F143EC2"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t>3</w:t>
            </w:r>
          </w:p>
        </w:tc>
        <w:tc>
          <w:tcPr>
            <w:tcW w:w="4252" w:type="dxa"/>
            <w:shd w:val="clear" w:color="auto" w:fill="auto"/>
            <w:tcMar>
              <w:top w:w="100" w:type="dxa"/>
              <w:left w:w="100" w:type="dxa"/>
              <w:bottom w:w="100" w:type="dxa"/>
              <w:right w:w="100" w:type="dxa"/>
            </w:tcMar>
          </w:tcPr>
          <w:p w14:paraId="66B85983" w14:textId="77777777" w:rsidR="000F6C66" w:rsidRDefault="00000000">
            <w:pPr>
              <w:widowControl w:val="0"/>
              <w:pBdr>
                <w:top w:val="nil"/>
                <w:left w:val="nil"/>
                <w:bottom w:val="nil"/>
                <w:right w:val="nil"/>
                <w:between w:val="nil"/>
              </w:pBdr>
              <w:spacing w:line="240" w:lineRule="auto"/>
              <w:rPr>
                <w:sz w:val="21"/>
                <w:szCs w:val="21"/>
                <w:highlight w:val="white"/>
              </w:rPr>
            </w:pPr>
            <w:r>
              <w:rPr>
                <w:sz w:val="21"/>
                <w:szCs w:val="21"/>
                <w:highlight w:val="white"/>
              </w:rPr>
              <w:t>Reconocimiento Jurisdiccional</w:t>
            </w:r>
          </w:p>
        </w:tc>
        <w:tc>
          <w:tcPr>
            <w:tcW w:w="4253" w:type="dxa"/>
            <w:shd w:val="clear" w:color="auto" w:fill="auto"/>
            <w:tcMar>
              <w:top w:w="100" w:type="dxa"/>
              <w:left w:w="100" w:type="dxa"/>
              <w:bottom w:w="100" w:type="dxa"/>
              <w:right w:w="100" w:type="dxa"/>
            </w:tcMar>
          </w:tcPr>
          <w:p w14:paraId="494EE9E7" w14:textId="77777777" w:rsidR="000F6C66" w:rsidRDefault="00000000">
            <w:pPr>
              <w:pBdr>
                <w:top w:val="nil"/>
                <w:left w:val="nil"/>
                <w:bottom w:val="nil"/>
                <w:right w:val="nil"/>
                <w:between w:val="nil"/>
              </w:pBdr>
              <w:jc w:val="both"/>
              <w:rPr>
                <w:color w:val="000000"/>
                <w:sz w:val="21"/>
                <w:szCs w:val="21"/>
              </w:rPr>
            </w:pPr>
            <w:r>
              <w:rPr>
                <w:color w:val="000000"/>
                <w:sz w:val="21"/>
                <w:szCs w:val="21"/>
              </w:rPr>
              <w:t>I. CURP</w:t>
            </w:r>
          </w:p>
        </w:tc>
      </w:tr>
      <w:tr w:rsidR="000F6C66" w14:paraId="4B3EF8EC" w14:textId="77777777">
        <w:tc>
          <w:tcPr>
            <w:tcW w:w="841" w:type="dxa"/>
            <w:shd w:val="clear" w:color="auto" w:fill="auto"/>
            <w:tcMar>
              <w:top w:w="100" w:type="dxa"/>
              <w:left w:w="100" w:type="dxa"/>
              <w:bottom w:w="100" w:type="dxa"/>
              <w:right w:w="100" w:type="dxa"/>
            </w:tcMar>
          </w:tcPr>
          <w:p w14:paraId="322E0C11"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t>4</w:t>
            </w:r>
          </w:p>
        </w:tc>
        <w:tc>
          <w:tcPr>
            <w:tcW w:w="4252" w:type="dxa"/>
            <w:shd w:val="clear" w:color="auto" w:fill="auto"/>
            <w:tcMar>
              <w:top w:w="100" w:type="dxa"/>
              <w:left w:w="100" w:type="dxa"/>
              <w:bottom w:w="100" w:type="dxa"/>
              <w:right w:w="100" w:type="dxa"/>
            </w:tcMar>
          </w:tcPr>
          <w:p w14:paraId="2B91C2C4" w14:textId="77777777" w:rsidR="000F6C66" w:rsidRDefault="00000000">
            <w:pPr>
              <w:widowControl w:val="0"/>
              <w:pBdr>
                <w:top w:val="nil"/>
                <w:left w:val="nil"/>
                <w:bottom w:val="nil"/>
                <w:right w:val="nil"/>
                <w:between w:val="nil"/>
              </w:pBdr>
              <w:spacing w:line="240" w:lineRule="auto"/>
              <w:rPr>
                <w:sz w:val="21"/>
                <w:szCs w:val="21"/>
                <w:highlight w:val="white"/>
              </w:rPr>
            </w:pPr>
            <w:r>
              <w:rPr>
                <w:sz w:val="21"/>
                <w:szCs w:val="21"/>
                <w:highlight w:val="white"/>
              </w:rPr>
              <w:t>Expedición de copias certificadas de los actos del estado civil de las personas</w:t>
            </w:r>
          </w:p>
        </w:tc>
        <w:tc>
          <w:tcPr>
            <w:tcW w:w="4253" w:type="dxa"/>
            <w:shd w:val="clear" w:color="auto" w:fill="auto"/>
            <w:tcMar>
              <w:top w:w="100" w:type="dxa"/>
              <w:left w:w="100" w:type="dxa"/>
              <w:bottom w:w="100" w:type="dxa"/>
              <w:right w:w="100" w:type="dxa"/>
            </w:tcMar>
          </w:tcPr>
          <w:p w14:paraId="11E9A3D6" w14:textId="77777777" w:rsidR="000F6C66" w:rsidRDefault="00000000">
            <w:pPr>
              <w:pBdr>
                <w:top w:val="nil"/>
                <w:left w:val="nil"/>
                <w:bottom w:val="nil"/>
                <w:right w:val="nil"/>
                <w:between w:val="nil"/>
              </w:pBdr>
              <w:jc w:val="both"/>
              <w:rPr>
                <w:color w:val="000000"/>
                <w:sz w:val="21"/>
                <w:szCs w:val="21"/>
              </w:rPr>
            </w:pPr>
            <w:r>
              <w:rPr>
                <w:color w:val="000000"/>
                <w:sz w:val="21"/>
                <w:szCs w:val="21"/>
              </w:rPr>
              <w:t>I. Presentar una copia del acta</w:t>
            </w:r>
          </w:p>
        </w:tc>
      </w:tr>
    </w:tbl>
    <w:p w14:paraId="49E047B5" w14:textId="77777777" w:rsidR="000F6C66" w:rsidRDefault="000F6C66">
      <w:pPr>
        <w:spacing w:before="240" w:after="240"/>
        <w:jc w:val="both"/>
        <w:rPr>
          <w:sz w:val="21"/>
          <w:szCs w:val="21"/>
          <w:highlight w:val="white"/>
        </w:rPr>
      </w:pPr>
    </w:p>
    <w:p w14:paraId="3C2BB9A7" w14:textId="77777777" w:rsidR="000F6C66" w:rsidRDefault="00000000">
      <w:pPr>
        <w:shd w:val="clear" w:color="auto" w:fill="FFFFFF"/>
        <w:spacing w:before="240" w:after="100"/>
        <w:jc w:val="both"/>
        <w:rPr>
          <w:sz w:val="21"/>
          <w:szCs w:val="21"/>
        </w:rPr>
      </w:pPr>
      <w:r>
        <w:rPr>
          <w:b/>
          <w:sz w:val="21"/>
          <w:szCs w:val="21"/>
        </w:rPr>
        <w:t xml:space="preserve">ARTÍCULO TERCERO. - </w:t>
      </w:r>
      <w:r>
        <w:rPr>
          <w:sz w:val="21"/>
          <w:szCs w:val="21"/>
        </w:rPr>
        <w:t>Se implementan las siguientes acciones de mejora en los trámites que se señalan a continuación:</w:t>
      </w:r>
    </w:p>
    <w:tbl>
      <w:tblPr>
        <w:tblStyle w:val="aa"/>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9"/>
        <w:gridCol w:w="2922"/>
        <w:gridCol w:w="2922"/>
        <w:gridCol w:w="2923"/>
      </w:tblGrid>
      <w:tr w:rsidR="000F6C66" w14:paraId="2595BC2F" w14:textId="77777777">
        <w:tc>
          <w:tcPr>
            <w:tcW w:w="9345" w:type="dxa"/>
            <w:gridSpan w:val="4"/>
            <w:shd w:val="clear" w:color="auto" w:fill="D9D9D9"/>
            <w:tcMar>
              <w:top w:w="100" w:type="dxa"/>
              <w:left w:w="100" w:type="dxa"/>
              <w:bottom w:w="100" w:type="dxa"/>
              <w:right w:w="100" w:type="dxa"/>
            </w:tcMar>
          </w:tcPr>
          <w:p w14:paraId="747E1FC5" w14:textId="77777777" w:rsidR="000F6C66" w:rsidRDefault="00000000">
            <w:pPr>
              <w:widowControl w:val="0"/>
              <w:spacing w:line="240" w:lineRule="auto"/>
              <w:jc w:val="center"/>
              <w:rPr>
                <w:b/>
                <w:sz w:val="21"/>
                <w:szCs w:val="21"/>
              </w:rPr>
            </w:pPr>
            <w:r>
              <w:rPr>
                <w:b/>
                <w:sz w:val="21"/>
                <w:szCs w:val="21"/>
              </w:rPr>
              <w:t>DIRECCIÓN GENERAL DEL REGISTRO DEL ESTADO FAMILIAR DE HIDALGO</w:t>
            </w:r>
          </w:p>
        </w:tc>
      </w:tr>
      <w:tr w:rsidR="000F6C66" w14:paraId="036F4241" w14:textId="77777777">
        <w:tc>
          <w:tcPr>
            <w:tcW w:w="578" w:type="dxa"/>
            <w:shd w:val="clear" w:color="auto" w:fill="D9D9D9"/>
            <w:tcMar>
              <w:top w:w="100" w:type="dxa"/>
              <w:left w:w="100" w:type="dxa"/>
              <w:bottom w:w="100" w:type="dxa"/>
              <w:right w:w="100" w:type="dxa"/>
            </w:tcMar>
          </w:tcPr>
          <w:p w14:paraId="7C611509" w14:textId="77777777" w:rsidR="000F6C66" w:rsidRDefault="00000000">
            <w:pPr>
              <w:widowControl w:val="0"/>
              <w:pBdr>
                <w:top w:val="nil"/>
                <w:left w:val="nil"/>
                <w:bottom w:val="nil"/>
                <w:right w:val="nil"/>
                <w:between w:val="nil"/>
              </w:pBdr>
              <w:spacing w:line="240" w:lineRule="auto"/>
              <w:jc w:val="center"/>
              <w:rPr>
                <w:b/>
                <w:sz w:val="21"/>
                <w:szCs w:val="21"/>
              </w:rPr>
            </w:pPr>
            <w:r>
              <w:rPr>
                <w:b/>
                <w:sz w:val="21"/>
                <w:szCs w:val="21"/>
              </w:rPr>
              <w:t>No.</w:t>
            </w:r>
          </w:p>
        </w:tc>
        <w:tc>
          <w:tcPr>
            <w:tcW w:w="2922" w:type="dxa"/>
            <w:shd w:val="clear" w:color="auto" w:fill="D9D9D9"/>
            <w:tcMar>
              <w:top w:w="100" w:type="dxa"/>
              <w:left w:w="100" w:type="dxa"/>
              <w:bottom w:w="100" w:type="dxa"/>
              <w:right w:w="100" w:type="dxa"/>
            </w:tcMar>
          </w:tcPr>
          <w:p w14:paraId="337102CA" w14:textId="77777777" w:rsidR="000F6C66" w:rsidRDefault="00000000">
            <w:pPr>
              <w:widowControl w:val="0"/>
              <w:pBdr>
                <w:top w:val="nil"/>
                <w:left w:val="nil"/>
                <w:bottom w:val="nil"/>
                <w:right w:val="nil"/>
                <w:between w:val="nil"/>
              </w:pBdr>
              <w:spacing w:line="240" w:lineRule="auto"/>
              <w:jc w:val="center"/>
              <w:rPr>
                <w:b/>
                <w:sz w:val="21"/>
                <w:szCs w:val="21"/>
              </w:rPr>
            </w:pPr>
            <w:r>
              <w:rPr>
                <w:b/>
                <w:sz w:val="21"/>
                <w:szCs w:val="21"/>
              </w:rPr>
              <w:t>Nombre del trámite</w:t>
            </w:r>
          </w:p>
        </w:tc>
        <w:tc>
          <w:tcPr>
            <w:tcW w:w="2922" w:type="dxa"/>
            <w:shd w:val="clear" w:color="auto" w:fill="D9D9D9"/>
            <w:tcMar>
              <w:top w:w="100" w:type="dxa"/>
              <w:left w:w="100" w:type="dxa"/>
              <w:bottom w:w="100" w:type="dxa"/>
              <w:right w:w="100" w:type="dxa"/>
            </w:tcMar>
          </w:tcPr>
          <w:p w14:paraId="1184D76D" w14:textId="77777777" w:rsidR="000F6C66" w:rsidRDefault="00000000">
            <w:pPr>
              <w:widowControl w:val="0"/>
              <w:spacing w:line="240" w:lineRule="auto"/>
              <w:jc w:val="center"/>
              <w:rPr>
                <w:b/>
                <w:sz w:val="21"/>
                <w:szCs w:val="21"/>
              </w:rPr>
            </w:pPr>
            <w:r>
              <w:rPr>
                <w:b/>
                <w:sz w:val="21"/>
                <w:szCs w:val="21"/>
              </w:rPr>
              <w:t>Mejora implementada</w:t>
            </w:r>
          </w:p>
        </w:tc>
        <w:tc>
          <w:tcPr>
            <w:tcW w:w="2923" w:type="dxa"/>
            <w:shd w:val="clear" w:color="auto" w:fill="D9D9D9"/>
            <w:tcMar>
              <w:top w:w="100" w:type="dxa"/>
              <w:left w:w="100" w:type="dxa"/>
              <w:bottom w:w="100" w:type="dxa"/>
              <w:right w:w="100" w:type="dxa"/>
            </w:tcMar>
          </w:tcPr>
          <w:p w14:paraId="3049347C" w14:textId="77777777" w:rsidR="000F6C66" w:rsidRDefault="00000000">
            <w:pPr>
              <w:widowControl w:val="0"/>
              <w:pBdr>
                <w:top w:val="nil"/>
                <w:left w:val="nil"/>
                <w:bottom w:val="nil"/>
                <w:right w:val="nil"/>
                <w:between w:val="nil"/>
              </w:pBdr>
              <w:spacing w:line="240" w:lineRule="auto"/>
              <w:jc w:val="center"/>
              <w:rPr>
                <w:b/>
                <w:sz w:val="21"/>
                <w:szCs w:val="21"/>
              </w:rPr>
            </w:pPr>
            <w:r>
              <w:rPr>
                <w:b/>
                <w:sz w:val="21"/>
                <w:szCs w:val="21"/>
              </w:rPr>
              <w:t>Requisitos</w:t>
            </w:r>
          </w:p>
        </w:tc>
      </w:tr>
      <w:tr w:rsidR="000F6C66" w14:paraId="7CE66000" w14:textId="77777777">
        <w:tc>
          <w:tcPr>
            <w:tcW w:w="578" w:type="dxa"/>
            <w:shd w:val="clear" w:color="auto" w:fill="auto"/>
            <w:tcMar>
              <w:top w:w="100" w:type="dxa"/>
              <w:left w:w="100" w:type="dxa"/>
              <w:bottom w:w="100" w:type="dxa"/>
              <w:right w:w="100" w:type="dxa"/>
            </w:tcMar>
          </w:tcPr>
          <w:p w14:paraId="5E4D7CD8"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t>1</w:t>
            </w:r>
          </w:p>
        </w:tc>
        <w:tc>
          <w:tcPr>
            <w:tcW w:w="2922" w:type="dxa"/>
            <w:shd w:val="clear" w:color="auto" w:fill="auto"/>
            <w:tcMar>
              <w:top w:w="100" w:type="dxa"/>
              <w:left w:w="100" w:type="dxa"/>
              <w:bottom w:w="100" w:type="dxa"/>
              <w:right w:w="100" w:type="dxa"/>
            </w:tcMar>
          </w:tcPr>
          <w:p w14:paraId="5DBB6460" w14:textId="77777777" w:rsidR="000F6C66" w:rsidRDefault="00000000">
            <w:pPr>
              <w:widowControl w:val="0"/>
              <w:pBdr>
                <w:top w:val="nil"/>
                <w:left w:val="nil"/>
                <w:bottom w:val="nil"/>
                <w:right w:val="nil"/>
                <w:between w:val="nil"/>
              </w:pBdr>
              <w:spacing w:line="240" w:lineRule="auto"/>
              <w:rPr>
                <w:sz w:val="21"/>
                <w:szCs w:val="21"/>
                <w:highlight w:val="white"/>
              </w:rPr>
            </w:pPr>
            <w:r>
              <w:rPr>
                <w:sz w:val="21"/>
                <w:szCs w:val="21"/>
                <w:highlight w:val="white"/>
              </w:rPr>
              <w:t>Registro de Adopción</w:t>
            </w:r>
          </w:p>
        </w:tc>
        <w:tc>
          <w:tcPr>
            <w:tcW w:w="2922" w:type="dxa"/>
            <w:shd w:val="clear" w:color="auto" w:fill="auto"/>
            <w:tcMar>
              <w:top w:w="100" w:type="dxa"/>
              <w:left w:w="100" w:type="dxa"/>
              <w:bottom w:w="100" w:type="dxa"/>
              <w:right w:w="100" w:type="dxa"/>
            </w:tcMar>
          </w:tcPr>
          <w:p w14:paraId="7906A504" w14:textId="77777777" w:rsidR="000F6C66" w:rsidRDefault="00000000">
            <w:pPr>
              <w:widowControl w:val="0"/>
              <w:spacing w:line="240" w:lineRule="auto"/>
              <w:jc w:val="both"/>
              <w:rPr>
                <w:sz w:val="21"/>
                <w:szCs w:val="21"/>
                <w:highlight w:val="white"/>
              </w:rPr>
            </w:pPr>
            <w:r>
              <w:rPr>
                <w:sz w:val="21"/>
                <w:szCs w:val="21"/>
                <w:highlight w:val="white"/>
              </w:rPr>
              <w:t xml:space="preserve">Disminución de carga regulatoria </w:t>
            </w:r>
          </w:p>
        </w:tc>
        <w:tc>
          <w:tcPr>
            <w:tcW w:w="2923" w:type="dxa"/>
            <w:shd w:val="clear" w:color="auto" w:fill="auto"/>
            <w:tcMar>
              <w:top w:w="100" w:type="dxa"/>
              <w:left w:w="100" w:type="dxa"/>
              <w:bottom w:w="100" w:type="dxa"/>
              <w:right w:w="100" w:type="dxa"/>
            </w:tcMar>
          </w:tcPr>
          <w:p w14:paraId="0EF58B1C" w14:textId="77777777" w:rsidR="000F6C66" w:rsidRDefault="00000000">
            <w:pPr>
              <w:pBdr>
                <w:top w:val="nil"/>
                <w:left w:val="nil"/>
                <w:bottom w:val="nil"/>
                <w:right w:val="nil"/>
                <w:between w:val="nil"/>
              </w:pBdr>
              <w:jc w:val="both"/>
              <w:rPr>
                <w:color w:val="000000"/>
                <w:sz w:val="21"/>
                <w:szCs w:val="21"/>
              </w:rPr>
            </w:pPr>
            <w:r>
              <w:rPr>
                <w:color w:val="000000"/>
                <w:sz w:val="21"/>
                <w:szCs w:val="21"/>
              </w:rPr>
              <w:t>I. Solicitud de registro de nacimiento en el formato autorizado por la Dirección General.</w:t>
            </w:r>
            <w:r>
              <w:rPr>
                <w:color w:val="000000"/>
                <w:sz w:val="21"/>
                <w:szCs w:val="21"/>
              </w:rPr>
              <w:br/>
            </w:r>
            <w:r>
              <w:rPr>
                <w:color w:val="000000"/>
                <w:sz w:val="21"/>
                <w:szCs w:val="21"/>
              </w:rPr>
              <w:br/>
              <w:t>II. Oficio girado por el Juez Familiar competente, en el que se anexa por duplicado la sentencia de adopción y auto que la declare ejecutoriada, al oficial del registro del estado familiar respectivo.</w:t>
            </w:r>
            <w:r>
              <w:rPr>
                <w:color w:val="000000"/>
                <w:sz w:val="21"/>
                <w:szCs w:val="21"/>
              </w:rPr>
              <w:br/>
            </w:r>
            <w:r>
              <w:rPr>
                <w:color w:val="000000"/>
                <w:sz w:val="21"/>
                <w:szCs w:val="21"/>
              </w:rPr>
              <w:br/>
              <w:t xml:space="preserve">En caso de que no se </w:t>
            </w:r>
            <w:r>
              <w:rPr>
                <w:color w:val="000000"/>
                <w:sz w:val="21"/>
                <w:szCs w:val="21"/>
              </w:rPr>
              <w:lastRenderedPageBreak/>
              <w:t>establezcan los datos de identificación de la persona adoptada en la sentencia correspondiente, deberán presentar copia certificada del acta de nacimiento.</w:t>
            </w:r>
            <w:r>
              <w:rPr>
                <w:color w:val="000000"/>
                <w:sz w:val="21"/>
                <w:szCs w:val="21"/>
              </w:rPr>
              <w:br/>
            </w:r>
            <w:r>
              <w:rPr>
                <w:color w:val="000000"/>
                <w:sz w:val="21"/>
                <w:szCs w:val="21"/>
              </w:rPr>
              <w:br/>
              <w:t>Asimismo, en caso de solicitar asentar la filiación correspondiente y de no establecerse en la sentencia de mérito, copia certificada del registro de nacimiento de la o las personas adoptantes;</w:t>
            </w:r>
            <w:r>
              <w:rPr>
                <w:color w:val="000000"/>
                <w:sz w:val="21"/>
                <w:szCs w:val="21"/>
              </w:rPr>
              <w:br/>
            </w:r>
            <w:r>
              <w:rPr>
                <w:color w:val="000000"/>
                <w:sz w:val="21"/>
                <w:szCs w:val="21"/>
              </w:rPr>
              <w:br/>
              <w:t>III. Identificación de la persona interesada solicitante;</w:t>
            </w:r>
            <w:r>
              <w:rPr>
                <w:color w:val="000000"/>
                <w:sz w:val="21"/>
                <w:szCs w:val="21"/>
              </w:rPr>
              <w:br/>
            </w:r>
            <w:r>
              <w:rPr>
                <w:color w:val="000000"/>
                <w:sz w:val="21"/>
                <w:szCs w:val="21"/>
              </w:rPr>
              <w:br/>
              <w:t>IV. Comparecencia de alguna de las personas interesadas conforme a la sentencia;</w:t>
            </w:r>
            <w:r>
              <w:rPr>
                <w:color w:val="000000"/>
                <w:sz w:val="21"/>
                <w:szCs w:val="21"/>
              </w:rPr>
              <w:br/>
            </w:r>
            <w:r>
              <w:rPr>
                <w:color w:val="000000"/>
                <w:sz w:val="21"/>
                <w:szCs w:val="21"/>
              </w:rPr>
              <w:br/>
              <w:t>V. Comprobante de pago de derechos.</w:t>
            </w:r>
          </w:p>
        </w:tc>
      </w:tr>
      <w:tr w:rsidR="000F6C66" w14:paraId="62308D92" w14:textId="77777777">
        <w:tc>
          <w:tcPr>
            <w:tcW w:w="578" w:type="dxa"/>
            <w:shd w:val="clear" w:color="auto" w:fill="auto"/>
            <w:tcMar>
              <w:top w:w="100" w:type="dxa"/>
              <w:left w:w="100" w:type="dxa"/>
              <w:bottom w:w="100" w:type="dxa"/>
              <w:right w:w="100" w:type="dxa"/>
            </w:tcMar>
          </w:tcPr>
          <w:p w14:paraId="2CFDCDFF"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lastRenderedPageBreak/>
              <w:t>2</w:t>
            </w:r>
          </w:p>
        </w:tc>
        <w:tc>
          <w:tcPr>
            <w:tcW w:w="2922" w:type="dxa"/>
            <w:shd w:val="clear" w:color="auto" w:fill="auto"/>
            <w:tcMar>
              <w:top w:w="100" w:type="dxa"/>
              <w:left w:w="100" w:type="dxa"/>
              <w:bottom w:w="100" w:type="dxa"/>
              <w:right w:w="100" w:type="dxa"/>
            </w:tcMar>
          </w:tcPr>
          <w:p w14:paraId="1FD47BFE" w14:textId="77777777" w:rsidR="000F6C66" w:rsidRDefault="00000000">
            <w:pPr>
              <w:widowControl w:val="0"/>
              <w:pBdr>
                <w:top w:val="nil"/>
                <w:left w:val="nil"/>
                <w:bottom w:val="nil"/>
                <w:right w:val="nil"/>
                <w:between w:val="nil"/>
              </w:pBdr>
              <w:spacing w:line="240" w:lineRule="auto"/>
              <w:rPr>
                <w:sz w:val="21"/>
                <w:szCs w:val="21"/>
                <w:highlight w:val="white"/>
              </w:rPr>
            </w:pPr>
            <w:r>
              <w:rPr>
                <w:sz w:val="21"/>
                <w:szCs w:val="21"/>
                <w:highlight w:val="white"/>
              </w:rPr>
              <w:t>Reconocimiento Voluntario</w:t>
            </w:r>
          </w:p>
        </w:tc>
        <w:tc>
          <w:tcPr>
            <w:tcW w:w="2922" w:type="dxa"/>
            <w:shd w:val="clear" w:color="auto" w:fill="auto"/>
            <w:tcMar>
              <w:top w:w="100" w:type="dxa"/>
              <w:left w:w="100" w:type="dxa"/>
              <w:bottom w:w="100" w:type="dxa"/>
              <w:right w:w="100" w:type="dxa"/>
            </w:tcMar>
          </w:tcPr>
          <w:p w14:paraId="35A57646" w14:textId="77777777" w:rsidR="000F6C66" w:rsidRDefault="00000000">
            <w:pPr>
              <w:widowControl w:val="0"/>
              <w:spacing w:line="240" w:lineRule="auto"/>
              <w:jc w:val="both"/>
              <w:rPr>
                <w:sz w:val="21"/>
                <w:szCs w:val="21"/>
                <w:highlight w:val="white"/>
              </w:rPr>
            </w:pPr>
            <w:r>
              <w:rPr>
                <w:sz w:val="21"/>
                <w:szCs w:val="21"/>
                <w:highlight w:val="white"/>
              </w:rPr>
              <w:t xml:space="preserve">Disminución de carga regulatoria </w:t>
            </w:r>
          </w:p>
        </w:tc>
        <w:tc>
          <w:tcPr>
            <w:tcW w:w="2923" w:type="dxa"/>
            <w:shd w:val="clear" w:color="auto" w:fill="auto"/>
            <w:tcMar>
              <w:top w:w="100" w:type="dxa"/>
              <w:left w:w="100" w:type="dxa"/>
              <w:bottom w:w="100" w:type="dxa"/>
              <w:right w:w="100" w:type="dxa"/>
            </w:tcMar>
          </w:tcPr>
          <w:p w14:paraId="27B71B58" w14:textId="77777777" w:rsidR="000F6C66" w:rsidRDefault="000F6C66">
            <w:pPr>
              <w:widowControl w:val="0"/>
              <w:pBdr>
                <w:top w:val="nil"/>
                <w:left w:val="nil"/>
                <w:bottom w:val="nil"/>
                <w:right w:val="nil"/>
                <w:between w:val="nil"/>
              </w:pBdr>
              <w:spacing w:line="240" w:lineRule="auto"/>
              <w:jc w:val="both"/>
              <w:rPr>
                <w:sz w:val="21"/>
                <w:szCs w:val="21"/>
                <w:highlight w:val="white"/>
              </w:rPr>
            </w:pPr>
          </w:p>
          <w:p w14:paraId="36A0D67C" w14:textId="77777777" w:rsidR="000F6C66" w:rsidRDefault="00000000">
            <w:pPr>
              <w:widowControl w:val="0"/>
              <w:pBdr>
                <w:top w:val="nil"/>
                <w:left w:val="nil"/>
                <w:bottom w:val="nil"/>
                <w:right w:val="nil"/>
                <w:between w:val="nil"/>
              </w:pBdr>
              <w:spacing w:line="240" w:lineRule="auto"/>
              <w:jc w:val="both"/>
              <w:rPr>
                <w:sz w:val="21"/>
                <w:szCs w:val="21"/>
                <w:highlight w:val="white"/>
              </w:rPr>
            </w:pPr>
            <w:r>
              <w:rPr>
                <w:sz w:val="21"/>
                <w:szCs w:val="21"/>
                <w:highlight w:val="white"/>
              </w:rPr>
              <w:t>I. Solicitud de registro de nacimiento, en el formato autorizado por la Dirección General; </w:t>
            </w:r>
          </w:p>
          <w:p w14:paraId="535132E1" w14:textId="77777777" w:rsidR="000F6C66" w:rsidRDefault="00000000">
            <w:pPr>
              <w:widowControl w:val="0"/>
              <w:pBdr>
                <w:top w:val="nil"/>
                <w:left w:val="nil"/>
                <w:bottom w:val="nil"/>
                <w:right w:val="nil"/>
                <w:between w:val="nil"/>
              </w:pBdr>
              <w:spacing w:line="240" w:lineRule="auto"/>
              <w:jc w:val="both"/>
              <w:rPr>
                <w:sz w:val="21"/>
                <w:szCs w:val="21"/>
                <w:highlight w:val="white"/>
              </w:rPr>
            </w:pPr>
            <w:r>
              <w:rPr>
                <w:sz w:val="21"/>
                <w:szCs w:val="21"/>
                <w:highlight w:val="white"/>
              </w:rPr>
              <w:br/>
              <w:t>II. Copia certificada del registro de nacimiento primigenio de la persona a reconocer;  </w:t>
            </w:r>
          </w:p>
          <w:p w14:paraId="6D19C7CA" w14:textId="77777777" w:rsidR="000F6C66" w:rsidRDefault="00000000">
            <w:pPr>
              <w:widowControl w:val="0"/>
              <w:pBdr>
                <w:top w:val="nil"/>
                <w:left w:val="nil"/>
                <w:bottom w:val="nil"/>
                <w:right w:val="nil"/>
                <w:between w:val="nil"/>
              </w:pBdr>
              <w:spacing w:line="240" w:lineRule="auto"/>
              <w:jc w:val="both"/>
              <w:rPr>
                <w:sz w:val="21"/>
                <w:szCs w:val="21"/>
              </w:rPr>
            </w:pPr>
            <w:r>
              <w:rPr>
                <w:sz w:val="21"/>
                <w:szCs w:val="21"/>
                <w:highlight w:val="white"/>
              </w:rPr>
              <w:br/>
              <w:t xml:space="preserve">III. Copia certificada del registro de nacimiento de la persona que efectuará el reconocimiento, </w:t>
            </w:r>
            <w:r>
              <w:rPr>
                <w:sz w:val="21"/>
                <w:szCs w:val="21"/>
              </w:rPr>
              <w:t>a fin de asentar la filiación correspondiente; en caso de no presentar dicho documento, se podrá realizar el registro omitiendo dicha información;  </w:t>
            </w:r>
          </w:p>
          <w:p w14:paraId="1112795C" w14:textId="77777777" w:rsidR="000F6C66" w:rsidRDefault="00000000">
            <w:pPr>
              <w:widowControl w:val="0"/>
              <w:pBdr>
                <w:top w:val="nil"/>
                <w:left w:val="nil"/>
                <w:bottom w:val="nil"/>
                <w:right w:val="nil"/>
                <w:between w:val="nil"/>
              </w:pBdr>
              <w:spacing w:line="240" w:lineRule="auto"/>
              <w:jc w:val="both"/>
              <w:rPr>
                <w:sz w:val="21"/>
                <w:szCs w:val="21"/>
                <w:highlight w:val="white"/>
              </w:rPr>
            </w:pPr>
            <w:r>
              <w:rPr>
                <w:sz w:val="21"/>
                <w:szCs w:val="21"/>
                <w:highlight w:val="white"/>
              </w:rPr>
              <w:br/>
              <w:t xml:space="preserve">IV. Identificación oficial </w:t>
            </w:r>
            <w:r>
              <w:rPr>
                <w:sz w:val="21"/>
                <w:szCs w:val="21"/>
                <w:highlight w:val="white"/>
              </w:rPr>
              <w:lastRenderedPageBreak/>
              <w:t>vigente de la persona que realizará el reconocimiento y de quien autoriza el mismo; </w:t>
            </w:r>
          </w:p>
          <w:p w14:paraId="0CC68455" w14:textId="77777777" w:rsidR="000F6C66" w:rsidRDefault="00000000">
            <w:pPr>
              <w:widowControl w:val="0"/>
              <w:pBdr>
                <w:top w:val="nil"/>
                <w:left w:val="nil"/>
                <w:bottom w:val="nil"/>
                <w:right w:val="nil"/>
                <w:between w:val="nil"/>
              </w:pBdr>
              <w:spacing w:line="240" w:lineRule="auto"/>
              <w:jc w:val="both"/>
              <w:rPr>
                <w:sz w:val="21"/>
                <w:szCs w:val="21"/>
                <w:highlight w:val="white"/>
              </w:rPr>
            </w:pPr>
            <w:r>
              <w:rPr>
                <w:sz w:val="21"/>
                <w:szCs w:val="21"/>
                <w:highlight w:val="white"/>
              </w:rPr>
              <w:br/>
              <w:t>V. Comparecencia de la persona que reconoce y de la persona que será reconocida. </w:t>
            </w:r>
          </w:p>
          <w:p w14:paraId="36CF766A" w14:textId="77777777" w:rsidR="000F6C66" w:rsidRDefault="000F6C66">
            <w:pPr>
              <w:widowControl w:val="0"/>
              <w:pBdr>
                <w:top w:val="nil"/>
                <w:left w:val="nil"/>
                <w:bottom w:val="nil"/>
                <w:right w:val="nil"/>
                <w:between w:val="nil"/>
              </w:pBdr>
              <w:spacing w:line="240" w:lineRule="auto"/>
              <w:jc w:val="both"/>
              <w:rPr>
                <w:sz w:val="21"/>
                <w:szCs w:val="21"/>
                <w:highlight w:val="white"/>
              </w:rPr>
            </w:pPr>
          </w:p>
          <w:p w14:paraId="4FFE8990" w14:textId="77777777" w:rsidR="000F6C66" w:rsidRDefault="00000000">
            <w:pPr>
              <w:widowControl w:val="0"/>
              <w:pBdr>
                <w:top w:val="nil"/>
                <w:left w:val="nil"/>
                <w:bottom w:val="nil"/>
                <w:right w:val="nil"/>
                <w:between w:val="nil"/>
              </w:pBdr>
              <w:spacing w:line="240" w:lineRule="auto"/>
              <w:jc w:val="both"/>
              <w:rPr>
                <w:sz w:val="21"/>
                <w:szCs w:val="21"/>
                <w:highlight w:val="white"/>
              </w:rPr>
            </w:pPr>
            <w:r>
              <w:rPr>
                <w:sz w:val="21"/>
                <w:szCs w:val="21"/>
                <w:highlight w:val="white"/>
              </w:rPr>
              <w:t>Cuando se solicite el reconocimiento de una persona menor de edad, deberá comparecer la persona que ejerza la patria potestad o tutela, a fin de que otorgue su consentimiento. </w:t>
            </w:r>
          </w:p>
          <w:p w14:paraId="72F036F8" w14:textId="77777777" w:rsidR="000F6C66" w:rsidRDefault="000F6C66">
            <w:pPr>
              <w:widowControl w:val="0"/>
              <w:pBdr>
                <w:top w:val="nil"/>
                <w:left w:val="nil"/>
                <w:bottom w:val="nil"/>
                <w:right w:val="nil"/>
                <w:between w:val="nil"/>
              </w:pBdr>
              <w:spacing w:line="240" w:lineRule="auto"/>
              <w:jc w:val="both"/>
              <w:rPr>
                <w:sz w:val="21"/>
                <w:szCs w:val="21"/>
                <w:highlight w:val="white"/>
              </w:rPr>
            </w:pPr>
          </w:p>
          <w:p w14:paraId="0479CA40" w14:textId="77777777" w:rsidR="000F6C66" w:rsidRDefault="00000000">
            <w:pPr>
              <w:widowControl w:val="0"/>
              <w:pBdr>
                <w:top w:val="nil"/>
                <w:left w:val="nil"/>
                <w:bottom w:val="nil"/>
                <w:right w:val="nil"/>
                <w:between w:val="nil"/>
              </w:pBdr>
              <w:spacing w:line="240" w:lineRule="auto"/>
              <w:jc w:val="both"/>
              <w:rPr>
                <w:sz w:val="21"/>
                <w:szCs w:val="21"/>
                <w:highlight w:val="white"/>
              </w:rPr>
            </w:pPr>
            <w:r>
              <w:rPr>
                <w:sz w:val="21"/>
                <w:szCs w:val="21"/>
                <w:highlight w:val="white"/>
              </w:rPr>
              <w:t>VI. Comprobante de pago de derechos</w:t>
            </w:r>
          </w:p>
          <w:p w14:paraId="4F5099FE" w14:textId="77777777" w:rsidR="000F6C66" w:rsidRDefault="000F6C66">
            <w:pPr>
              <w:widowControl w:val="0"/>
              <w:pBdr>
                <w:top w:val="nil"/>
                <w:left w:val="nil"/>
                <w:bottom w:val="nil"/>
                <w:right w:val="nil"/>
                <w:between w:val="nil"/>
              </w:pBdr>
              <w:spacing w:line="240" w:lineRule="auto"/>
              <w:jc w:val="both"/>
              <w:rPr>
                <w:sz w:val="21"/>
                <w:szCs w:val="21"/>
                <w:highlight w:val="white"/>
              </w:rPr>
            </w:pPr>
          </w:p>
        </w:tc>
      </w:tr>
      <w:tr w:rsidR="000F6C66" w14:paraId="2D7C4809" w14:textId="77777777">
        <w:tc>
          <w:tcPr>
            <w:tcW w:w="578" w:type="dxa"/>
            <w:shd w:val="clear" w:color="auto" w:fill="auto"/>
            <w:tcMar>
              <w:top w:w="100" w:type="dxa"/>
              <w:left w:w="100" w:type="dxa"/>
              <w:bottom w:w="100" w:type="dxa"/>
              <w:right w:w="100" w:type="dxa"/>
            </w:tcMar>
          </w:tcPr>
          <w:p w14:paraId="7BB4143E"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lastRenderedPageBreak/>
              <w:t>3</w:t>
            </w:r>
          </w:p>
        </w:tc>
        <w:tc>
          <w:tcPr>
            <w:tcW w:w="2922" w:type="dxa"/>
            <w:shd w:val="clear" w:color="auto" w:fill="auto"/>
            <w:tcMar>
              <w:top w:w="100" w:type="dxa"/>
              <w:left w:w="100" w:type="dxa"/>
              <w:bottom w:w="100" w:type="dxa"/>
              <w:right w:w="100" w:type="dxa"/>
            </w:tcMar>
          </w:tcPr>
          <w:p w14:paraId="4679988B" w14:textId="77777777" w:rsidR="000F6C66" w:rsidRDefault="00000000">
            <w:pPr>
              <w:widowControl w:val="0"/>
              <w:pBdr>
                <w:top w:val="nil"/>
                <w:left w:val="nil"/>
                <w:bottom w:val="nil"/>
                <w:right w:val="nil"/>
                <w:between w:val="nil"/>
              </w:pBdr>
              <w:spacing w:line="240" w:lineRule="auto"/>
              <w:rPr>
                <w:sz w:val="21"/>
                <w:szCs w:val="21"/>
                <w:highlight w:val="white"/>
              </w:rPr>
            </w:pPr>
            <w:r>
              <w:rPr>
                <w:sz w:val="21"/>
                <w:szCs w:val="21"/>
                <w:highlight w:val="white"/>
              </w:rPr>
              <w:t>Reconocimiento Jurisdiccional</w:t>
            </w:r>
          </w:p>
        </w:tc>
        <w:tc>
          <w:tcPr>
            <w:tcW w:w="2922" w:type="dxa"/>
            <w:shd w:val="clear" w:color="auto" w:fill="auto"/>
            <w:tcMar>
              <w:top w:w="100" w:type="dxa"/>
              <w:left w:w="100" w:type="dxa"/>
              <w:bottom w:w="100" w:type="dxa"/>
              <w:right w:w="100" w:type="dxa"/>
            </w:tcMar>
          </w:tcPr>
          <w:p w14:paraId="41DDD673" w14:textId="77777777" w:rsidR="000F6C66" w:rsidRDefault="00000000">
            <w:pPr>
              <w:widowControl w:val="0"/>
              <w:spacing w:line="240" w:lineRule="auto"/>
              <w:jc w:val="both"/>
              <w:rPr>
                <w:sz w:val="21"/>
                <w:szCs w:val="21"/>
                <w:highlight w:val="white"/>
              </w:rPr>
            </w:pPr>
            <w:r>
              <w:rPr>
                <w:sz w:val="21"/>
                <w:szCs w:val="21"/>
                <w:highlight w:val="white"/>
              </w:rPr>
              <w:t xml:space="preserve">Disminución de carga regulatoria </w:t>
            </w:r>
          </w:p>
        </w:tc>
        <w:tc>
          <w:tcPr>
            <w:tcW w:w="2923" w:type="dxa"/>
            <w:shd w:val="clear" w:color="auto" w:fill="auto"/>
            <w:tcMar>
              <w:top w:w="100" w:type="dxa"/>
              <w:left w:w="100" w:type="dxa"/>
              <w:bottom w:w="100" w:type="dxa"/>
              <w:right w:w="100" w:type="dxa"/>
            </w:tcMar>
          </w:tcPr>
          <w:p w14:paraId="7678DE54" w14:textId="77777777" w:rsidR="000F6C66" w:rsidRDefault="00000000">
            <w:pPr>
              <w:pBdr>
                <w:top w:val="nil"/>
                <w:left w:val="nil"/>
                <w:bottom w:val="nil"/>
                <w:right w:val="nil"/>
                <w:between w:val="nil"/>
              </w:pBdr>
              <w:jc w:val="both"/>
              <w:rPr>
                <w:color w:val="000000"/>
                <w:sz w:val="21"/>
                <w:szCs w:val="21"/>
              </w:rPr>
            </w:pPr>
            <w:r>
              <w:rPr>
                <w:color w:val="000000"/>
                <w:sz w:val="21"/>
                <w:szCs w:val="21"/>
              </w:rPr>
              <w:t>I. Solicitud de registro de nacimiento; </w:t>
            </w:r>
          </w:p>
          <w:p w14:paraId="15F63394" w14:textId="77777777" w:rsidR="000F6C66" w:rsidRDefault="000F6C66">
            <w:pPr>
              <w:pBdr>
                <w:top w:val="nil"/>
                <w:left w:val="nil"/>
                <w:bottom w:val="nil"/>
                <w:right w:val="nil"/>
                <w:between w:val="nil"/>
              </w:pBdr>
              <w:jc w:val="both"/>
              <w:rPr>
                <w:color w:val="000000"/>
                <w:sz w:val="21"/>
                <w:szCs w:val="21"/>
              </w:rPr>
            </w:pPr>
          </w:p>
          <w:p w14:paraId="2125805F" w14:textId="77777777" w:rsidR="000F6C66" w:rsidRDefault="00000000">
            <w:pPr>
              <w:pBdr>
                <w:top w:val="nil"/>
                <w:left w:val="nil"/>
                <w:bottom w:val="nil"/>
                <w:right w:val="nil"/>
                <w:between w:val="nil"/>
              </w:pBdr>
              <w:jc w:val="both"/>
              <w:rPr>
                <w:color w:val="000000"/>
                <w:sz w:val="21"/>
                <w:szCs w:val="21"/>
              </w:rPr>
            </w:pPr>
            <w:r>
              <w:rPr>
                <w:color w:val="000000"/>
                <w:sz w:val="21"/>
                <w:szCs w:val="21"/>
              </w:rPr>
              <w:t>II. Copia certificada del registro de nacimiento primigenio de la persona a reconocer;</w:t>
            </w:r>
          </w:p>
          <w:p w14:paraId="36BA7A8E" w14:textId="77777777" w:rsidR="000F6C66" w:rsidRDefault="00000000">
            <w:pPr>
              <w:pBdr>
                <w:top w:val="nil"/>
                <w:left w:val="nil"/>
                <w:bottom w:val="nil"/>
                <w:right w:val="nil"/>
                <w:between w:val="nil"/>
              </w:pBdr>
              <w:jc w:val="both"/>
              <w:rPr>
                <w:color w:val="000000"/>
                <w:sz w:val="21"/>
                <w:szCs w:val="21"/>
              </w:rPr>
            </w:pPr>
            <w:r>
              <w:rPr>
                <w:color w:val="000000"/>
                <w:sz w:val="21"/>
                <w:szCs w:val="21"/>
              </w:rPr>
              <w:br/>
              <w:t>III. Copia certificada de la sentencia definitiva y el auto que declare que ha causado estado, misma que deberá ser notificada mediante oficio signado por la autoridad jurisdiccional competente;</w:t>
            </w:r>
          </w:p>
          <w:p w14:paraId="2AFC5C59" w14:textId="77777777" w:rsidR="000F6C66" w:rsidRDefault="00000000">
            <w:pPr>
              <w:pBdr>
                <w:top w:val="nil"/>
                <w:left w:val="nil"/>
                <w:bottom w:val="nil"/>
                <w:right w:val="nil"/>
                <w:between w:val="nil"/>
              </w:pBdr>
              <w:jc w:val="both"/>
              <w:rPr>
                <w:color w:val="000000"/>
                <w:sz w:val="21"/>
                <w:szCs w:val="21"/>
              </w:rPr>
            </w:pPr>
            <w:r>
              <w:rPr>
                <w:color w:val="000000"/>
                <w:sz w:val="21"/>
                <w:szCs w:val="21"/>
              </w:rPr>
              <w:br/>
              <w:t>IV. Identificación oficial de la persona solicitante;</w:t>
            </w:r>
          </w:p>
          <w:p w14:paraId="2E6F961A" w14:textId="77777777" w:rsidR="000F6C66" w:rsidRDefault="00000000">
            <w:pPr>
              <w:pBdr>
                <w:top w:val="nil"/>
                <w:left w:val="nil"/>
                <w:bottom w:val="nil"/>
                <w:right w:val="nil"/>
                <w:between w:val="nil"/>
              </w:pBdr>
              <w:jc w:val="both"/>
              <w:rPr>
                <w:color w:val="000000"/>
                <w:sz w:val="21"/>
                <w:szCs w:val="21"/>
              </w:rPr>
            </w:pPr>
            <w:r>
              <w:rPr>
                <w:color w:val="000000"/>
                <w:sz w:val="21"/>
                <w:szCs w:val="21"/>
              </w:rPr>
              <w:br/>
              <w:t xml:space="preserve">V. Copia certificada del registro de nacimiento con quien se estableció el vínculo filial, a fin de asentar la filiación correspondiente; en caso de no presentar dicho documento, se podrá realizar </w:t>
            </w:r>
            <w:r>
              <w:rPr>
                <w:color w:val="000000"/>
                <w:sz w:val="21"/>
                <w:szCs w:val="21"/>
              </w:rPr>
              <w:lastRenderedPageBreak/>
              <w:t>el registro omitiendo dicha información.</w:t>
            </w:r>
          </w:p>
          <w:p w14:paraId="09DE4023" w14:textId="77777777" w:rsidR="000F6C66" w:rsidRDefault="00000000">
            <w:pPr>
              <w:pBdr>
                <w:top w:val="nil"/>
                <w:left w:val="nil"/>
                <w:bottom w:val="nil"/>
                <w:right w:val="nil"/>
                <w:between w:val="nil"/>
              </w:pBdr>
              <w:jc w:val="both"/>
              <w:rPr>
                <w:color w:val="000000"/>
                <w:sz w:val="21"/>
                <w:szCs w:val="21"/>
              </w:rPr>
            </w:pPr>
            <w:r>
              <w:rPr>
                <w:color w:val="000000"/>
                <w:sz w:val="21"/>
                <w:szCs w:val="21"/>
              </w:rPr>
              <w:t> </w:t>
            </w:r>
          </w:p>
          <w:p w14:paraId="2E4F2647" w14:textId="77777777" w:rsidR="000F6C66" w:rsidRDefault="00000000">
            <w:pPr>
              <w:pBdr>
                <w:top w:val="nil"/>
                <w:left w:val="nil"/>
                <w:bottom w:val="nil"/>
                <w:right w:val="nil"/>
                <w:between w:val="nil"/>
              </w:pBdr>
              <w:jc w:val="both"/>
              <w:rPr>
                <w:color w:val="000000"/>
                <w:sz w:val="21"/>
                <w:szCs w:val="21"/>
              </w:rPr>
            </w:pPr>
            <w:r>
              <w:rPr>
                <w:color w:val="000000"/>
                <w:sz w:val="21"/>
                <w:szCs w:val="21"/>
              </w:rPr>
              <w:t>VI. Comprobante de pago de derechos.</w:t>
            </w:r>
          </w:p>
        </w:tc>
      </w:tr>
      <w:tr w:rsidR="000F6C66" w14:paraId="208EB321" w14:textId="77777777">
        <w:tc>
          <w:tcPr>
            <w:tcW w:w="578" w:type="dxa"/>
            <w:shd w:val="clear" w:color="auto" w:fill="auto"/>
            <w:tcMar>
              <w:top w:w="100" w:type="dxa"/>
              <w:left w:w="100" w:type="dxa"/>
              <w:bottom w:w="100" w:type="dxa"/>
              <w:right w:w="100" w:type="dxa"/>
            </w:tcMar>
          </w:tcPr>
          <w:p w14:paraId="13E45DBC" w14:textId="77777777" w:rsidR="000F6C66" w:rsidRDefault="00000000">
            <w:pPr>
              <w:widowControl w:val="0"/>
              <w:pBdr>
                <w:top w:val="nil"/>
                <w:left w:val="nil"/>
                <w:bottom w:val="nil"/>
                <w:right w:val="nil"/>
                <w:between w:val="nil"/>
              </w:pBdr>
              <w:spacing w:line="240" w:lineRule="auto"/>
              <w:jc w:val="center"/>
              <w:rPr>
                <w:sz w:val="21"/>
                <w:szCs w:val="21"/>
                <w:highlight w:val="white"/>
              </w:rPr>
            </w:pPr>
            <w:r>
              <w:rPr>
                <w:sz w:val="21"/>
                <w:szCs w:val="21"/>
                <w:highlight w:val="white"/>
              </w:rPr>
              <w:lastRenderedPageBreak/>
              <w:t>4</w:t>
            </w:r>
          </w:p>
        </w:tc>
        <w:tc>
          <w:tcPr>
            <w:tcW w:w="2922" w:type="dxa"/>
            <w:shd w:val="clear" w:color="auto" w:fill="auto"/>
            <w:tcMar>
              <w:top w:w="100" w:type="dxa"/>
              <w:left w:w="100" w:type="dxa"/>
              <w:bottom w:w="100" w:type="dxa"/>
              <w:right w:w="100" w:type="dxa"/>
            </w:tcMar>
          </w:tcPr>
          <w:p w14:paraId="3AECAE51" w14:textId="77777777" w:rsidR="000F6C66" w:rsidRDefault="00000000">
            <w:pPr>
              <w:widowControl w:val="0"/>
              <w:pBdr>
                <w:top w:val="nil"/>
                <w:left w:val="nil"/>
                <w:bottom w:val="nil"/>
                <w:right w:val="nil"/>
                <w:between w:val="nil"/>
              </w:pBdr>
              <w:spacing w:line="240" w:lineRule="auto"/>
              <w:rPr>
                <w:sz w:val="21"/>
                <w:szCs w:val="21"/>
                <w:highlight w:val="white"/>
              </w:rPr>
            </w:pPr>
            <w:r>
              <w:rPr>
                <w:sz w:val="21"/>
                <w:szCs w:val="21"/>
                <w:highlight w:val="white"/>
              </w:rPr>
              <w:t>Expedición de copias certificadas de los actos del estado civil de las personas</w:t>
            </w:r>
          </w:p>
        </w:tc>
        <w:tc>
          <w:tcPr>
            <w:tcW w:w="2922" w:type="dxa"/>
            <w:shd w:val="clear" w:color="auto" w:fill="auto"/>
            <w:tcMar>
              <w:top w:w="100" w:type="dxa"/>
              <w:left w:w="100" w:type="dxa"/>
              <w:bottom w:w="100" w:type="dxa"/>
              <w:right w:w="100" w:type="dxa"/>
            </w:tcMar>
          </w:tcPr>
          <w:p w14:paraId="24E83C09" w14:textId="77777777" w:rsidR="000F6C66" w:rsidRDefault="00000000">
            <w:pPr>
              <w:widowControl w:val="0"/>
              <w:spacing w:line="240" w:lineRule="auto"/>
              <w:jc w:val="both"/>
              <w:rPr>
                <w:sz w:val="21"/>
                <w:szCs w:val="21"/>
                <w:highlight w:val="white"/>
              </w:rPr>
            </w:pPr>
            <w:r>
              <w:rPr>
                <w:sz w:val="21"/>
                <w:szCs w:val="21"/>
                <w:highlight w:val="white"/>
              </w:rPr>
              <w:t xml:space="preserve">Disminución de carga regulatoria </w:t>
            </w:r>
          </w:p>
        </w:tc>
        <w:tc>
          <w:tcPr>
            <w:tcW w:w="2923" w:type="dxa"/>
            <w:shd w:val="clear" w:color="auto" w:fill="auto"/>
            <w:tcMar>
              <w:top w:w="100" w:type="dxa"/>
              <w:left w:w="100" w:type="dxa"/>
              <w:bottom w:w="100" w:type="dxa"/>
              <w:right w:w="100" w:type="dxa"/>
            </w:tcMar>
          </w:tcPr>
          <w:p w14:paraId="7C53DA3E" w14:textId="77777777" w:rsidR="000F6C66" w:rsidRDefault="00000000">
            <w:pPr>
              <w:pBdr>
                <w:top w:val="nil"/>
                <w:left w:val="nil"/>
                <w:bottom w:val="nil"/>
                <w:right w:val="nil"/>
                <w:between w:val="nil"/>
              </w:pBdr>
              <w:jc w:val="both"/>
              <w:rPr>
                <w:color w:val="000000"/>
                <w:sz w:val="21"/>
                <w:szCs w:val="21"/>
              </w:rPr>
            </w:pPr>
            <w:r>
              <w:rPr>
                <w:color w:val="000000"/>
                <w:sz w:val="21"/>
                <w:szCs w:val="21"/>
              </w:rPr>
              <w:t>I. Datos registrales o datos personales (nombre, apellidos, fecha de nacimiento y lugar de nacimiento) o CURP o cadena digital;</w:t>
            </w:r>
          </w:p>
          <w:p w14:paraId="37E86679" w14:textId="77777777" w:rsidR="000F6C66" w:rsidRDefault="000F6C66">
            <w:pPr>
              <w:pBdr>
                <w:top w:val="nil"/>
                <w:left w:val="nil"/>
                <w:bottom w:val="nil"/>
                <w:right w:val="nil"/>
                <w:between w:val="nil"/>
              </w:pBdr>
              <w:jc w:val="both"/>
              <w:rPr>
                <w:color w:val="000000"/>
                <w:sz w:val="21"/>
                <w:szCs w:val="21"/>
              </w:rPr>
            </w:pPr>
          </w:p>
          <w:p w14:paraId="69B003CD" w14:textId="77777777" w:rsidR="000F6C66" w:rsidRDefault="00000000">
            <w:pPr>
              <w:pBdr>
                <w:top w:val="nil"/>
                <w:left w:val="nil"/>
                <w:bottom w:val="nil"/>
                <w:right w:val="nil"/>
                <w:between w:val="nil"/>
              </w:pBdr>
              <w:jc w:val="both"/>
              <w:rPr>
                <w:color w:val="000000"/>
                <w:sz w:val="21"/>
                <w:szCs w:val="21"/>
              </w:rPr>
            </w:pPr>
            <w:r>
              <w:rPr>
                <w:color w:val="000000"/>
                <w:sz w:val="21"/>
                <w:szCs w:val="21"/>
              </w:rPr>
              <w:t>II. Comprobante de pago de derechos.</w:t>
            </w:r>
          </w:p>
        </w:tc>
      </w:tr>
    </w:tbl>
    <w:p w14:paraId="1D7AC2CC" w14:textId="77777777" w:rsidR="000F6C66" w:rsidRDefault="000F6C66">
      <w:pPr>
        <w:shd w:val="clear" w:color="auto" w:fill="FFFFFF"/>
        <w:spacing w:before="240" w:after="100"/>
        <w:jc w:val="both"/>
        <w:rPr>
          <w:sz w:val="21"/>
          <w:szCs w:val="21"/>
        </w:rPr>
      </w:pPr>
    </w:p>
    <w:p w14:paraId="098FBC5E" w14:textId="77777777" w:rsidR="000F6C66" w:rsidRDefault="00000000">
      <w:pPr>
        <w:shd w:val="clear" w:color="auto" w:fill="FFFFFF"/>
        <w:spacing w:before="240" w:after="100"/>
        <w:jc w:val="both"/>
        <w:rPr>
          <w:sz w:val="21"/>
          <w:szCs w:val="21"/>
          <w:highlight w:val="white"/>
        </w:rPr>
      </w:pPr>
      <w:r>
        <w:rPr>
          <w:b/>
          <w:sz w:val="21"/>
          <w:szCs w:val="21"/>
          <w:highlight w:val="white"/>
        </w:rPr>
        <w:t>ARTÍCULO CUARTO.</w:t>
      </w:r>
      <w:r>
        <w:rPr>
          <w:sz w:val="21"/>
          <w:szCs w:val="21"/>
          <w:highlight w:val="white"/>
        </w:rPr>
        <w:t xml:space="preserve"> Se modifican los Formatos Únicos Estatales para los trámites de registro de Adopción, Reconocimiento Voluntario, Reconocimiento Jurisdiccional y Expedición de copias certificadas de los actos del estado civil de las personas, derivado de la eliminación de requisitos que se señalan en el artículo Segundo del presente Acuerdo.</w:t>
      </w:r>
    </w:p>
    <w:p w14:paraId="6A3A14B9" w14:textId="77777777" w:rsidR="000F6C66" w:rsidRDefault="00000000">
      <w:pPr>
        <w:shd w:val="clear" w:color="auto" w:fill="FFFFFF"/>
        <w:spacing w:before="240" w:after="100"/>
        <w:jc w:val="center"/>
        <w:rPr>
          <w:sz w:val="21"/>
          <w:szCs w:val="21"/>
          <w:highlight w:val="white"/>
        </w:rPr>
      </w:pPr>
      <w:r>
        <w:rPr>
          <w:b/>
          <w:sz w:val="21"/>
          <w:szCs w:val="21"/>
        </w:rPr>
        <w:t>TRANSITORIOS</w:t>
      </w:r>
    </w:p>
    <w:p w14:paraId="5139EE59" w14:textId="77777777" w:rsidR="000F6C66" w:rsidRDefault="00000000">
      <w:pPr>
        <w:spacing w:before="240" w:after="240"/>
        <w:jc w:val="both"/>
        <w:rPr>
          <w:sz w:val="21"/>
          <w:szCs w:val="21"/>
          <w:highlight w:val="white"/>
        </w:rPr>
      </w:pPr>
      <w:r>
        <w:rPr>
          <w:b/>
          <w:sz w:val="21"/>
          <w:szCs w:val="21"/>
          <w:highlight w:val="white"/>
        </w:rPr>
        <w:t>PRIMERO.</w:t>
      </w:r>
      <w:r>
        <w:rPr>
          <w:sz w:val="21"/>
          <w:szCs w:val="21"/>
          <w:highlight w:val="white"/>
        </w:rPr>
        <w:t xml:space="preserve"> Publíquese el presente Acuerdo en el Periódico Oficial del Estado de Hidalgo. </w:t>
      </w:r>
    </w:p>
    <w:p w14:paraId="3679B0D0" w14:textId="606DBDE3" w:rsidR="000F6C66" w:rsidRDefault="00000000">
      <w:pPr>
        <w:spacing w:before="240" w:after="240"/>
        <w:jc w:val="both"/>
        <w:rPr>
          <w:sz w:val="21"/>
          <w:szCs w:val="21"/>
          <w:highlight w:val="white"/>
        </w:rPr>
      </w:pPr>
      <w:r>
        <w:rPr>
          <w:b/>
          <w:sz w:val="21"/>
          <w:szCs w:val="21"/>
          <w:highlight w:val="white"/>
        </w:rPr>
        <w:t>SEGUNDO.</w:t>
      </w:r>
      <w:r>
        <w:rPr>
          <w:sz w:val="21"/>
          <w:szCs w:val="21"/>
          <w:highlight w:val="white"/>
        </w:rPr>
        <w:t xml:space="preserve"> </w:t>
      </w:r>
      <w:r>
        <w:rPr>
          <w:sz w:val="21"/>
          <w:szCs w:val="21"/>
        </w:rPr>
        <w:t xml:space="preserve">Este </w:t>
      </w:r>
      <w:r w:rsidR="00EE61AA">
        <w:rPr>
          <w:sz w:val="21"/>
          <w:szCs w:val="21"/>
        </w:rPr>
        <w:t>A</w:t>
      </w:r>
      <w:r>
        <w:rPr>
          <w:sz w:val="21"/>
          <w:szCs w:val="21"/>
        </w:rPr>
        <w:t>cuerdo entrará en vigor a partir de los siguientes 20 días hábiles al de su publicació</w:t>
      </w:r>
      <w:r>
        <w:rPr>
          <w:rFonts w:ascii="Arial Narrow" w:eastAsia="Arial Narrow" w:hAnsi="Arial Narrow" w:cs="Arial Narrow"/>
          <w:sz w:val="24"/>
          <w:szCs w:val="24"/>
        </w:rPr>
        <w:t xml:space="preserve">n </w:t>
      </w:r>
      <w:r>
        <w:rPr>
          <w:sz w:val="21"/>
          <w:szCs w:val="21"/>
          <w:highlight w:val="white"/>
        </w:rPr>
        <w:t>en el Periódico Oficial del Estado de Hidalgo.</w:t>
      </w:r>
    </w:p>
    <w:p w14:paraId="7580E54A" w14:textId="77777777" w:rsidR="000F6C66" w:rsidRDefault="00000000">
      <w:pPr>
        <w:spacing w:before="240" w:after="240"/>
        <w:jc w:val="both"/>
        <w:rPr>
          <w:sz w:val="21"/>
          <w:szCs w:val="21"/>
          <w:highlight w:val="white"/>
        </w:rPr>
      </w:pPr>
      <w:r>
        <w:rPr>
          <w:b/>
          <w:sz w:val="21"/>
          <w:szCs w:val="21"/>
          <w:highlight w:val="white"/>
        </w:rPr>
        <w:t xml:space="preserve">TERCERO. </w:t>
      </w:r>
      <w:r>
        <w:rPr>
          <w:sz w:val="21"/>
          <w:szCs w:val="21"/>
          <w:highlight w:val="white"/>
        </w:rPr>
        <w:t>Las autoridades competentes deberán realizar las adecuaciones necesarias a los instrumentos normativos vinculados al presente acuerdo dentro del plazo máximo de 120 días naturales contados a partir de la entrada en vigor de la misma. Este plazo se establece con el fin de asegurar la coherencia y armonización de las disposiciones legales y reglamentarias, así como la actualización de los marcos normativos que resulten modificados o afectados por las reformas y disposiciones aquí contempladas.</w:t>
      </w:r>
    </w:p>
    <w:p w14:paraId="6CE93DE4" w14:textId="77777777" w:rsidR="000F6C66" w:rsidRDefault="00000000">
      <w:pPr>
        <w:spacing w:before="240" w:after="240"/>
        <w:jc w:val="both"/>
        <w:rPr>
          <w:sz w:val="21"/>
          <w:szCs w:val="21"/>
          <w:highlight w:val="white"/>
        </w:rPr>
      </w:pPr>
      <w:r>
        <w:rPr>
          <w:sz w:val="21"/>
          <w:szCs w:val="21"/>
          <w:highlight w:val="white"/>
        </w:rPr>
        <w:t>En caso de que las autoridades no cumplan con el plazo establecido, deberán presentar un informe detallado ante la instancia correspondiente, explicando los motivos de la demora y proponiendo una nueva fecha de cumplimiento.</w:t>
      </w:r>
    </w:p>
    <w:p w14:paraId="4AF85754" w14:textId="77777777" w:rsidR="000F6C66" w:rsidRDefault="00000000">
      <w:pPr>
        <w:spacing w:before="240" w:after="240"/>
        <w:jc w:val="both"/>
        <w:rPr>
          <w:sz w:val="21"/>
          <w:szCs w:val="21"/>
          <w:highlight w:val="white"/>
        </w:rPr>
      </w:pPr>
      <w:r>
        <w:rPr>
          <w:sz w:val="21"/>
          <w:szCs w:val="21"/>
          <w:highlight w:val="white"/>
        </w:rPr>
        <w:t>Este plazo de 120 días naturales también será aplicable a los ajustes que deban realizarse en los procedimientos administrativos, sistemas de registro, o cualquier otro mecanismo que requiera actualización conforme a los cambios normativos introducidos.</w:t>
      </w:r>
    </w:p>
    <w:p w14:paraId="343B02F7" w14:textId="77777777" w:rsidR="000F6C66" w:rsidRDefault="00000000">
      <w:pPr>
        <w:pBdr>
          <w:top w:val="nil"/>
          <w:left w:val="nil"/>
          <w:bottom w:val="nil"/>
          <w:right w:val="nil"/>
          <w:between w:val="nil"/>
        </w:pBdr>
        <w:spacing w:before="240" w:after="240"/>
        <w:jc w:val="both"/>
        <w:rPr>
          <w:sz w:val="21"/>
          <w:szCs w:val="21"/>
          <w:highlight w:val="white"/>
        </w:rPr>
      </w:pPr>
      <w:r>
        <w:rPr>
          <w:b/>
          <w:sz w:val="21"/>
          <w:szCs w:val="21"/>
          <w:highlight w:val="white"/>
        </w:rPr>
        <w:t xml:space="preserve">CUARTO. </w:t>
      </w:r>
      <w:r>
        <w:rPr>
          <w:sz w:val="21"/>
          <w:szCs w:val="21"/>
          <w:highlight w:val="white"/>
        </w:rPr>
        <w:t xml:space="preserve"> Los trámites y procedimientos iniciados con anterioridad a la entrada en vigor del presente Acuerdo y aquellos que se verifiquen antes de su entrada en vigor continuarán </w:t>
      </w:r>
      <w:r>
        <w:rPr>
          <w:sz w:val="21"/>
          <w:szCs w:val="21"/>
          <w:highlight w:val="white"/>
        </w:rPr>
        <w:lastRenderedPageBreak/>
        <w:t>tramitándose hasta su resolución final conforme a las disposiciones aplicables vigentes a su inicio.</w:t>
      </w:r>
    </w:p>
    <w:p w14:paraId="56ED8237" w14:textId="77777777" w:rsidR="000F6C66" w:rsidRDefault="00000000">
      <w:pPr>
        <w:spacing w:before="240" w:after="240"/>
        <w:jc w:val="both"/>
        <w:rPr>
          <w:sz w:val="21"/>
          <w:szCs w:val="21"/>
          <w:highlight w:val="white"/>
        </w:rPr>
      </w:pPr>
      <w:r>
        <w:rPr>
          <w:b/>
          <w:sz w:val="21"/>
          <w:szCs w:val="21"/>
          <w:highlight w:val="white"/>
        </w:rPr>
        <w:t xml:space="preserve">QUINTO. </w:t>
      </w:r>
      <w:r>
        <w:rPr>
          <w:sz w:val="21"/>
          <w:szCs w:val="21"/>
          <w:highlight w:val="white"/>
        </w:rPr>
        <w:t xml:space="preserve">La Secretaría de Gobierno modificará la información que resulte necesaria en las fichas de trámites inscritas en el Registro Federal de Trámites y Servicios, de conformidad con lo establecido en el artículo 47 de la Ley General de Mejora Regulatoria. </w:t>
      </w:r>
    </w:p>
    <w:p w14:paraId="15A0DE89" w14:textId="559A9433" w:rsidR="00550ABA" w:rsidRDefault="00EE61AA">
      <w:pPr>
        <w:spacing w:before="240" w:after="240"/>
        <w:jc w:val="both"/>
        <w:rPr>
          <w:sz w:val="21"/>
          <w:szCs w:val="21"/>
        </w:rPr>
      </w:pPr>
      <w:r>
        <w:rPr>
          <w:sz w:val="21"/>
          <w:szCs w:val="21"/>
          <w:highlight w:val="white"/>
        </w:rPr>
        <w:t xml:space="preserve">Dado en la </w:t>
      </w:r>
      <w:r w:rsidR="00550ABA">
        <w:rPr>
          <w:sz w:val="21"/>
          <w:szCs w:val="21"/>
          <w:highlight w:val="white"/>
        </w:rPr>
        <w:t xml:space="preserve">ciudad de Pachuca de Soto, Hidalgo a los dieciséis días del mes de abril del año dos mil veinticinco.  </w:t>
      </w:r>
    </w:p>
    <w:p w14:paraId="46F975BB" w14:textId="77777777" w:rsidR="00550ABA" w:rsidRDefault="00550ABA">
      <w:pPr>
        <w:spacing w:before="240" w:after="240"/>
        <w:jc w:val="both"/>
        <w:rPr>
          <w:sz w:val="21"/>
          <w:szCs w:val="21"/>
        </w:rPr>
      </w:pPr>
    </w:p>
    <w:p w14:paraId="1AC5CDAF" w14:textId="1B1E8C00" w:rsidR="00550ABA" w:rsidRPr="00550ABA" w:rsidRDefault="00550ABA" w:rsidP="00550ABA">
      <w:pPr>
        <w:spacing w:before="240" w:after="240"/>
        <w:jc w:val="center"/>
        <w:rPr>
          <w:b/>
          <w:bCs/>
          <w:sz w:val="21"/>
          <w:szCs w:val="21"/>
        </w:rPr>
      </w:pPr>
      <w:r w:rsidRPr="00550ABA">
        <w:rPr>
          <w:b/>
          <w:bCs/>
          <w:sz w:val="21"/>
          <w:szCs w:val="21"/>
        </w:rPr>
        <w:t>LIC. GUILLERMO OLIVARES REYNA</w:t>
      </w:r>
    </w:p>
    <w:p w14:paraId="4101E725" w14:textId="77777777" w:rsidR="00550ABA" w:rsidRPr="00550ABA" w:rsidRDefault="00550ABA" w:rsidP="00550ABA">
      <w:pPr>
        <w:spacing w:before="240" w:after="240"/>
        <w:jc w:val="center"/>
        <w:rPr>
          <w:b/>
          <w:bCs/>
          <w:sz w:val="21"/>
          <w:szCs w:val="21"/>
        </w:rPr>
      </w:pPr>
    </w:p>
    <w:p w14:paraId="70A95291" w14:textId="01C4CEE6" w:rsidR="000F6C66" w:rsidRPr="00550ABA" w:rsidRDefault="00550ABA" w:rsidP="00550ABA">
      <w:pPr>
        <w:spacing w:before="240" w:after="240"/>
        <w:jc w:val="center"/>
        <w:rPr>
          <w:b/>
          <w:bCs/>
          <w:sz w:val="21"/>
          <w:szCs w:val="21"/>
        </w:rPr>
      </w:pPr>
      <w:r w:rsidRPr="00550ABA">
        <w:rPr>
          <w:b/>
          <w:bCs/>
          <w:sz w:val="21"/>
          <w:szCs w:val="21"/>
        </w:rPr>
        <w:t xml:space="preserve">SECRETARIO DE GOBIERNO </w:t>
      </w:r>
    </w:p>
    <w:sectPr w:rsidR="000F6C66" w:rsidRPr="00550ABA">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2DE71" w14:textId="77777777" w:rsidR="009E5795" w:rsidRDefault="009E5795">
      <w:pPr>
        <w:spacing w:line="240" w:lineRule="auto"/>
      </w:pPr>
      <w:r>
        <w:separator/>
      </w:r>
    </w:p>
  </w:endnote>
  <w:endnote w:type="continuationSeparator" w:id="0">
    <w:p w14:paraId="05297547" w14:textId="77777777" w:rsidR="009E5795" w:rsidRDefault="009E57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4765FD1-345B-443B-80B1-69F3D97E2898}"/>
    <w:embedItalic r:id="rId2" w:fontKey="{9939F541-2463-40C3-984D-EA4FDF1178CC}"/>
  </w:font>
  <w:font w:name="Arial Narrow">
    <w:panose1 w:val="020B0606020202030204"/>
    <w:charset w:val="00"/>
    <w:family w:val="swiss"/>
    <w:pitch w:val="variable"/>
    <w:sig w:usb0="00000287" w:usb1="00000800" w:usb2="00000000" w:usb3="00000000" w:csb0="0000009F" w:csb1="00000000"/>
    <w:embedRegular r:id="rId3" w:fontKey="{46356ABB-29AD-4106-8754-19828CACC9FF}"/>
  </w:font>
  <w:font w:name="Calibri Light">
    <w:panose1 w:val="020F0302020204030204"/>
    <w:charset w:val="00"/>
    <w:family w:val="swiss"/>
    <w:pitch w:val="variable"/>
    <w:sig w:usb0="E4002EFF" w:usb1="C200247B" w:usb2="00000009" w:usb3="00000000" w:csb0="000001FF" w:csb1="00000000"/>
    <w:embedRegular r:id="rId4" w:fontKey="{2D3C5062-EEEB-4742-AF06-71642C2BD950}"/>
  </w:font>
  <w:font w:name="Calibri">
    <w:panose1 w:val="020F0502020204030204"/>
    <w:charset w:val="00"/>
    <w:family w:val="swiss"/>
    <w:pitch w:val="variable"/>
    <w:sig w:usb0="E4002EFF" w:usb1="C200247B" w:usb2="00000009" w:usb3="00000000" w:csb0="000001FF" w:csb1="00000000"/>
    <w:embedRegular r:id="rId5" w:fontKey="{E516CCD3-E160-4F13-B2D2-2F35613668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C665F" w14:textId="77777777" w:rsidR="009E5795" w:rsidRDefault="009E5795">
      <w:pPr>
        <w:spacing w:line="240" w:lineRule="auto"/>
      </w:pPr>
      <w:r>
        <w:separator/>
      </w:r>
    </w:p>
  </w:footnote>
  <w:footnote w:type="continuationSeparator" w:id="0">
    <w:p w14:paraId="5C6ACD0B" w14:textId="77777777" w:rsidR="009E5795" w:rsidRDefault="009E57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AA09" w14:textId="77777777" w:rsidR="000F6C66" w:rsidRDefault="000F6C66">
    <w:pPr>
      <w:pBdr>
        <w:top w:val="nil"/>
        <w:left w:val="nil"/>
        <w:bottom w:val="nil"/>
        <w:right w:val="nil"/>
        <w:between w:val="nil"/>
      </w:pBdr>
      <w:tabs>
        <w:tab w:val="center" w:pos="4419"/>
        <w:tab w:val="right" w:pos="8838"/>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66"/>
    <w:rsid w:val="000F6C66"/>
    <w:rsid w:val="00147E57"/>
    <w:rsid w:val="001A0BEE"/>
    <w:rsid w:val="00550ABA"/>
    <w:rsid w:val="005551C9"/>
    <w:rsid w:val="008F6BD8"/>
    <w:rsid w:val="009E5795"/>
    <w:rsid w:val="00C62F35"/>
    <w:rsid w:val="00C75B7E"/>
    <w:rsid w:val="00C801AD"/>
    <w:rsid w:val="00EE61AA"/>
    <w:rsid w:val="00FA56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A0005"/>
  <w15:docId w15:val="{FA3536EC-CAEB-49CC-9D62-E8893474D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6E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39"/>
    <w:rsid w:val="005176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D0EF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D0EFE"/>
    <w:rPr>
      <w:rFonts w:ascii="Arial" w:eastAsia="Arial" w:hAnsi="Arial" w:cs="Arial"/>
      <w:kern w:val="0"/>
      <w:lang w:val="es-419" w:eastAsia="es-MX"/>
    </w:rPr>
  </w:style>
  <w:style w:type="paragraph" w:styleId="Piedepgina">
    <w:name w:val="footer"/>
    <w:basedOn w:val="Normal"/>
    <w:link w:val="PiedepginaCar"/>
    <w:uiPriority w:val="99"/>
    <w:unhideWhenUsed/>
    <w:rsid w:val="00DD0EF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D0EFE"/>
    <w:rPr>
      <w:rFonts w:ascii="Arial" w:eastAsia="Arial" w:hAnsi="Arial" w:cs="Arial"/>
      <w:kern w:val="0"/>
      <w:lang w:val="es-419" w:eastAsia="es-MX"/>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rFonts w:ascii="Arial" w:eastAsia="Arial" w:hAnsi="Arial" w:cs="Arial"/>
      <w:kern w:val="0"/>
      <w:sz w:val="20"/>
      <w:szCs w:val="20"/>
      <w:lang w:val="es-419" w:eastAsia="es-MX"/>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0A72F3"/>
    <w:rPr>
      <w:b/>
      <w:bCs/>
    </w:rPr>
  </w:style>
  <w:style w:type="character" w:customStyle="1" w:styleId="AsuntodelcomentarioCar">
    <w:name w:val="Asunto del comentario Car"/>
    <w:basedOn w:val="TextocomentarioCar"/>
    <w:link w:val="Asuntodelcomentario"/>
    <w:uiPriority w:val="99"/>
    <w:semiHidden/>
    <w:rsid w:val="000A72F3"/>
    <w:rPr>
      <w:rFonts w:ascii="Arial" w:eastAsia="Arial" w:hAnsi="Arial" w:cs="Arial"/>
      <w:b/>
      <w:bCs/>
      <w:kern w:val="0"/>
      <w:sz w:val="20"/>
      <w:szCs w:val="20"/>
      <w:lang w:val="es-419" w:eastAsia="es-MX"/>
    </w:rPr>
  </w:style>
  <w:style w:type="character" w:styleId="Hipervnculo">
    <w:name w:val="Hyperlink"/>
    <w:basedOn w:val="Fuentedeprrafopredeter"/>
    <w:uiPriority w:val="99"/>
    <w:unhideWhenUsed/>
    <w:rsid w:val="0085187E"/>
    <w:rPr>
      <w:color w:val="0563C1" w:themeColor="hyperlink"/>
      <w:u w:val="single"/>
    </w:rPr>
  </w:style>
  <w:style w:type="paragraph" w:styleId="Prrafodelista">
    <w:name w:val="List Paragraph"/>
    <w:basedOn w:val="Normal"/>
    <w:uiPriority w:val="34"/>
    <w:qFormat/>
    <w:rsid w:val="00F8352F"/>
    <w:pPr>
      <w:ind w:left="720"/>
      <w:contextualSpacing/>
    </w:pPr>
  </w:style>
  <w:style w:type="character" w:styleId="Mencinsinresolver">
    <w:name w:val="Unresolved Mention"/>
    <w:basedOn w:val="Fuentedeprrafopredeter"/>
    <w:uiPriority w:val="99"/>
    <w:semiHidden/>
    <w:unhideWhenUsed/>
    <w:rsid w:val="00F8352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ry7DrmPQe5iwWXdtp6ccqekzPw==">CgMxLjA4AHIhMW5Hd2F6NkJyVHEwaElNMlQ0VVZzUHZleW9QdVZtOERO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2643</Words>
  <Characters>14540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Chepe Martinez</dc:creator>
  <cp:lastModifiedBy>USUARIO</cp:lastModifiedBy>
  <cp:revision>2</cp:revision>
  <dcterms:created xsi:type="dcterms:W3CDTF">2025-04-22T21:31:00Z</dcterms:created>
  <dcterms:modified xsi:type="dcterms:W3CDTF">2025-04-22T21:31:00Z</dcterms:modified>
</cp:coreProperties>
</file>